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BC9AC" w14:textId="77777777" w:rsidR="00A20DF9" w:rsidRPr="0097338D" w:rsidRDefault="00A20DF9" w:rsidP="009D6520">
      <w:pPr>
        <w:jc w:val="both"/>
        <w:rPr>
          <w:rFonts w:ascii="Arial" w:hAnsi="Arial" w:cs="Arial"/>
        </w:rPr>
      </w:pPr>
      <w:r w:rsidRPr="0097338D">
        <w:rPr>
          <w:rFonts w:ascii="Arial" w:hAnsi="Arial" w:cs="Arial"/>
        </w:rPr>
        <w:t xml:space="preserve">Prinsjesdag voor u </w:t>
      </w:r>
      <w:proofErr w:type="spellStart"/>
      <w:r w:rsidRPr="0097338D">
        <w:rPr>
          <w:rFonts w:ascii="Arial" w:hAnsi="Arial" w:cs="Arial"/>
        </w:rPr>
        <w:t>dga</w:t>
      </w:r>
      <w:proofErr w:type="spellEnd"/>
      <w:r w:rsidRPr="0097338D">
        <w:rPr>
          <w:rFonts w:ascii="Arial" w:hAnsi="Arial" w:cs="Arial"/>
        </w:rPr>
        <w:t xml:space="preserve"> met uw eigen bv</w:t>
      </w:r>
    </w:p>
    <w:p w14:paraId="0FC11407" w14:textId="5D4CAFE4"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In het Belastingplan 2025 zit een groot aantal fiscale maatregelen opgenomen die een directeur grootaandeelhouder (</w:t>
      </w:r>
      <w:proofErr w:type="spellStart"/>
      <w:r w:rsidRPr="0097338D">
        <w:rPr>
          <w:rFonts w:ascii="Arial" w:hAnsi="Arial" w:cs="Arial"/>
          <w:color w:val="000000" w:themeColor="text1"/>
          <w:sz w:val="22"/>
        </w:rPr>
        <w:t>dga</w:t>
      </w:r>
      <w:proofErr w:type="spellEnd"/>
      <w:r w:rsidRPr="0097338D">
        <w:rPr>
          <w:rFonts w:ascii="Arial" w:hAnsi="Arial" w:cs="Arial"/>
          <w:color w:val="000000" w:themeColor="text1"/>
          <w:sz w:val="22"/>
        </w:rPr>
        <w:t xml:space="preserve">) met zijn eigen bv direct raken. Het aantal wijzigingen is voor </w:t>
      </w:r>
      <w:proofErr w:type="spellStart"/>
      <w:r w:rsidRPr="0097338D">
        <w:rPr>
          <w:rFonts w:ascii="Arial" w:hAnsi="Arial" w:cs="Arial"/>
          <w:color w:val="000000" w:themeColor="text1"/>
          <w:sz w:val="22"/>
        </w:rPr>
        <w:t>dga’s</w:t>
      </w:r>
      <w:proofErr w:type="spellEnd"/>
      <w:r w:rsidRPr="0097338D">
        <w:rPr>
          <w:rFonts w:ascii="Arial" w:hAnsi="Arial" w:cs="Arial"/>
          <w:color w:val="000000" w:themeColor="text1"/>
          <w:sz w:val="22"/>
        </w:rPr>
        <w:t xml:space="preserve"> komend jaar wellicht nog groter, dan voor voorgaande jaren gold.</w:t>
      </w:r>
    </w:p>
    <w:p w14:paraId="4FC966E9" w14:textId="62049D5C" w:rsidR="00A20DF9" w:rsidRPr="0097338D" w:rsidRDefault="00A20DF9" w:rsidP="0097338D">
      <w:pPr>
        <w:rPr>
          <w:rFonts w:ascii="Arial" w:hAnsi="Arial" w:cs="Arial"/>
          <w:color w:val="auto"/>
          <w:sz w:val="22"/>
        </w:rPr>
      </w:pPr>
      <w:r w:rsidRPr="0097338D">
        <w:rPr>
          <w:rFonts w:ascii="Arial" w:hAnsi="Arial" w:cs="Arial"/>
          <w:color w:val="auto"/>
          <w:sz w:val="22"/>
        </w:rPr>
        <w:t xml:space="preserve">In samenwerking met </w:t>
      </w:r>
      <w:proofErr w:type="spellStart"/>
      <w:r w:rsidRPr="0097338D">
        <w:rPr>
          <w:rFonts w:ascii="Arial" w:hAnsi="Arial" w:cs="Arial"/>
          <w:color w:val="auto"/>
          <w:sz w:val="22"/>
        </w:rPr>
        <w:t>Marree</w:t>
      </w:r>
      <w:proofErr w:type="spellEnd"/>
      <w:r w:rsidRPr="0097338D">
        <w:rPr>
          <w:rFonts w:ascii="Arial" w:hAnsi="Arial" w:cs="Arial"/>
          <w:color w:val="auto"/>
          <w:sz w:val="22"/>
        </w:rPr>
        <w:t xml:space="preserve"> &amp; Van Uunen Belastingadviseurs heeft NOAB deze notitie opgesteld, waarin de belangrijkste maatregelen voor u als </w:t>
      </w:r>
      <w:proofErr w:type="spellStart"/>
      <w:r w:rsidRPr="0097338D">
        <w:rPr>
          <w:rFonts w:ascii="Arial" w:hAnsi="Arial" w:cs="Arial"/>
          <w:color w:val="auto"/>
          <w:sz w:val="22"/>
        </w:rPr>
        <w:t>dga</w:t>
      </w:r>
      <w:proofErr w:type="spellEnd"/>
      <w:r w:rsidRPr="0097338D">
        <w:rPr>
          <w:rFonts w:ascii="Arial" w:hAnsi="Arial" w:cs="Arial"/>
          <w:color w:val="auto"/>
          <w:sz w:val="22"/>
        </w:rPr>
        <w:t xml:space="preserve"> met uw eigen bv aan de orde komen. Let wel, het zijn alleen zaken die specifiek over </w:t>
      </w:r>
      <w:proofErr w:type="spellStart"/>
      <w:r w:rsidRPr="0097338D">
        <w:rPr>
          <w:rFonts w:ascii="Arial" w:hAnsi="Arial" w:cs="Arial"/>
          <w:color w:val="auto"/>
          <w:sz w:val="22"/>
        </w:rPr>
        <w:t>dga’s</w:t>
      </w:r>
      <w:proofErr w:type="spellEnd"/>
      <w:r w:rsidRPr="0097338D">
        <w:rPr>
          <w:rFonts w:ascii="Arial" w:hAnsi="Arial" w:cs="Arial"/>
          <w:color w:val="auto"/>
          <w:sz w:val="22"/>
        </w:rPr>
        <w:t xml:space="preserve"> en hun eigen bv’s gaan. Los van deze maatregelen zijn er nog veel meer fiscale wijzigingen aangekondigd. Daarnaast zijn er vorig jaar ook al maatregelen aangekondigd, die met ingang van 2025 (of zelfs nog later) in werking treden.</w:t>
      </w:r>
    </w:p>
    <w:p w14:paraId="79DD785D" w14:textId="02FDA558" w:rsidR="009D6520"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Hierbij geldt een groot voorbehoud: deze notitie is geschreven op basis van de inhoud van het Pakket Belastingplan 2025, zoals dat op 17 september 2024 bekend is gemaakt. Het kan zijn dat de definitieve uitwerking van de plannen in de uiteindelijke wetgeving nog anders wordt.</w:t>
      </w:r>
    </w:p>
    <w:p w14:paraId="7E494E45" w14:textId="6739BB8B" w:rsidR="00A20DF9" w:rsidRPr="0097338D" w:rsidRDefault="00A20DF9" w:rsidP="00A20DF9">
      <w:pPr>
        <w:jc w:val="both"/>
        <w:rPr>
          <w:rFonts w:ascii="Arial" w:hAnsi="Arial" w:cs="Arial"/>
          <w:szCs w:val="32"/>
        </w:rPr>
      </w:pPr>
      <w:r w:rsidRPr="0097338D">
        <w:rPr>
          <w:rFonts w:ascii="Arial" w:hAnsi="Arial" w:cs="Arial"/>
          <w:szCs w:val="32"/>
        </w:rPr>
        <w:t>Box 2-tarief</w:t>
      </w:r>
    </w:p>
    <w:p w14:paraId="5087BE36" w14:textId="7777777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Het box 2-tarief is de laatste jaren onrustig. Tot en met 2023 was het simpelweg één tarief van 25% voor ontvangen dividenden uit en vervreemdingsvoordelen op aandelen in uw eigen bv, maar vanaf 2024 is het tarief gedifferentieerd in twee schijven. Tot € 67.000 per persoon geldt een tarief van 24,5%, het meerdere is in 2024 belast tegen 33%. Die hoge schijf van 33% wordt met ingang van 2025 nu weer verlaagd tot 31%.</w:t>
      </w:r>
    </w:p>
    <w:p w14:paraId="2C5ADB0E" w14:textId="401B0388"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Schematisch luidt de box 2-heffing:</w:t>
      </w:r>
    </w:p>
    <w:tbl>
      <w:tblPr>
        <w:tblStyle w:val="Gemiddeldearcering2-accent1"/>
        <w:tblW w:w="0" w:type="auto"/>
        <w:tblLook w:val="04A0" w:firstRow="1" w:lastRow="0" w:firstColumn="1" w:lastColumn="0" w:noHBand="0" w:noVBand="1"/>
      </w:tblPr>
      <w:tblGrid>
        <w:gridCol w:w="1276"/>
        <w:gridCol w:w="1276"/>
        <w:gridCol w:w="1276"/>
        <w:gridCol w:w="1276"/>
      </w:tblGrid>
      <w:tr w:rsidR="00A20DF9" w:rsidRPr="0097338D" w14:paraId="0157F494" w14:textId="77777777" w:rsidTr="00A20DF9">
        <w:trPr>
          <w:cnfStyle w:val="100000000000" w:firstRow="1" w:lastRow="0" w:firstColumn="0" w:lastColumn="0" w:oddVBand="0" w:evenVBand="0" w:oddHBand="0" w:evenHBand="0" w:firstRowFirstColumn="0" w:firstRowLastColumn="0" w:lastRowFirstColumn="0" w:lastRowLastColumn="0"/>
          <w:trHeight w:val="252"/>
        </w:trPr>
        <w:tc>
          <w:tcPr>
            <w:cnfStyle w:val="001000000100" w:firstRow="0" w:lastRow="0" w:firstColumn="1" w:lastColumn="0" w:oddVBand="0" w:evenVBand="0" w:oddHBand="0" w:evenHBand="0" w:firstRowFirstColumn="1" w:firstRowLastColumn="0" w:lastRowFirstColumn="0" w:lastRowLastColumn="0"/>
            <w:tcW w:w="2552" w:type="dxa"/>
            <w:gridSpan w:val="2"/>
            <w:tcBorders>
              <w:bottom w:val="nil"/>
            </w:tcBorders>
            <w:shd w:val="clear" w:color="auto" w:fill="808080" w:themeFill="background1" w:themeFillShade="80"/>
          </w:tcPr>
          <w:p w14:paraId="0DF432BA" w14:textId="77777777" w:rsidR="00A20DF9" w:rsidRPr="0097338D" w:rsidRDefault="00A20DF9" w:rsidP="00900AD4">
            <w:pPr>
              <w:pStyle w:val="Geenafstand"/>
              <w:jc w:val="right"/>
              <w:rPr>
                <w:rFonts w:ascii="Arial" w:hAnsi="Arial" w:cs="Arial"/>
                <w:color w:val="FFFFFF" w:themeColor="background1"/>
                <w:sz w:val="22"/>
                <w:szCs w:val="22"/>
              </w:rPr>
            </w:pPr>
            <w:r w:rsidRPr="0097338D">
              <w:rPr>
                <w:rFonts w:ascii="Arial" w:hAnsi="Arial" w:cs="Arial"/>
                <w:color w:val="FFFFFF" w:themeColor="background1"/>
                <w:sz w:val="22"/>
                <w:szCs w:val="22"/>
              </w:rPr>
              <w:t>Inkomen</w:t>
            </w:r>
          </w:p>
        </w:tc>
        <w:tc>
          <w:tcPr>
            <w:tcW w:w="1276" w:type="dxa"/>
            <w:vMerge w:val="restart"/>
            <w:shd w:val="clear" w:color="auto" w:fill="808080" w:themeFill="background1" w:themeFillShade="80"/>
          </w:tcPr>
          <w:p w14:paraId="6C4ACEF4" w14:textId="77777777" w:rsidR="00A20DF9" w:rsidRPr="0097338D" w:rsidRDefault="00A20DF9" w:rsidP="00900AD4">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2"/>
                <w:szCs w:val="22"/>
              </w:rPr>
            </w:pPr>
            <w:r w:rsidRPr="0097338D">
              <w:rPr>
                <w:rFonts w:ascii="Arial" w:hAnsi="Arial" w:cs="Arial"/>
                <w:color w:val="FFFFFF" w:themeColor="background1"/>
                <w:sz w:val="22"/>
                <w:szCs w:val="22"/>
              </w:rPr>
              <w:t>Heffing</w:t>
            </w:r>
          </w:p>
          <w:p w14:paraId="0CF24820" w14:textId="77777777" w:rsidR="00A20DF9" w:rsidRPr="0097338D" w:rsidRDefault="00A20DF9" w:rsidP="00900AD4">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2024</w:t>
            </w:r>
          </w:p>
        </w:tc>
        <w:tc>
          <w:tcPr>
            <w:tcW w:w="1276" w:type="dxa"/>
            <w:vMerge w:val="restart"/>
            <w:shd w:val="clear" w:color="auto" w:fill="808080" w:themeFill="background1" w:themeFillShade="80"/>
          </w:tcPr>
          <w:p w14:paraId="45C5B33D" w14:textId="77777777" w:rsidR="00A20DF9" w:rsidRPr="0097338D" w:rsidRDefault="00A20DF9" w:rsidP="00900AD4">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2"/>
                <w:szCs w:val="22"/>
              </w:rPr>
            </w:pPr>
            <w:r w:rsidRPr="0097338D">
              <w:rPr>
                <w:rFonts w:ascii="Arial" w:hAnsi="Arial" w:cs="Arial"/>
                <w:color w:val="FFFFFF" w:themeColor="background1"/>
                <w:sz w:val="22"/>
                <w:szCs w:val="22"/>
              </w:rPr>
              <w:t>Heffing</w:t>
            </w:r>
          </w:p>
          <w:p w14:paraId="4C7A0D2A" w14:textId="77777777" w:rsidR="00A20DF9" w:rsidRPr="0097338D" w:rsidRDefault="00A20DF9" w:rsidP="00900AD4">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2025</w:t>
            </w:r>
          </w:p>
        </w:tc>
      </w:tr>
      <w:tr w:rsidR="00A20DF9" w:rsidRPr="0097338D" w14:paraId="67DBD44C" w14:textId="77777777" w:rsidTr="00A20DF9">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276" w:type="dxa"/>
            <w:tcBorders>
              <w:bottom w:val="single" w:sz="18" w:space="0" w:color="auto"/>
            </w:tcBorders>
            <w:shd w:val="clear" w:color="auto" w:fill="808080" w:themeFill="background1" w:themeFillShade="80"/>
          </w:tcPr>
          <w:p w14:paraId="264E8FF5"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van</w:t>
            </w:r>
          </w:p>
        </w:tc>
        <w:tc>
          <w:tcPr>
            <w:tcW w:w="1276" w:type="dxa"/>
            <w:tcBorders>
              <w:top w:val="nil"/>
              <w:bottom w:val="single" w:sz="18" w:space="0" w:color="auto"/>
            </w:tcBorders>
            <w:shd w:val="clear" w:color="auto" w:fill="808080" w:themeFill="background1" w:themeFillShade="80"/>
          </w:tcPr>
          <w:p w14:paraId="2EF57AB4"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r w:rsidRPr="0097338D">
              <w:rPr>
                <w:rFonts w:ascii="Arial" w:hAnsi="Arial" w:cs="Arial"/>
                <w:b/>
                <w:bCs/>
                <w:color w:val="FFFFFF" w:themeColor="background1"/>
                <w:sz w:val="22"/>
                <w:szCs w:val="22"/>
              </w:rPr>
              <w:t>tot</w:t>
            </w:r>
          </w:p>
        </w:tc>
        <w:tc>
          <w:tcPr>
            <w:tcW w:w="1276" w:type="dxa"/>
            <w:vMerge/>
            <w:tcBorders>
              <w:bottom w:val="single" w:sz="18" w:space="0" w:color="auto"/>
            </w:tcBorders>
            <w:shd w:val="clear" w:color="auto" w:fill="156082" w:themeFill="accent1"/>
          </w:tcPr>
          <w:p w14:paraId="1A71226C"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p>
        </w:tc>
        <w:tc>
          <w:tcPr>
            <w:tcW w:w="1276" w:type="dxa"/>
            <w:vMerge/>
            <w:tcBorders>
              <w:bottom w:val="single" w:sz="18" w:space="0" w:color="auto"/>
            </w:tcBorders>
            <w:shd w:val="clear" w:color="auto" w:fill="156082" w:themeFill="accent1"/>
          </w:tcPr>
          <w:p w14:paraId="01424EF6"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p>
        </w:tc>
      </w:tr>
      <w:tr w:rsidR="00A20DF9" w:rsidRPr="0097338D" w14:paraId="69F21CA4" w14:textId="77777777" w:rsidTr="00A20DF9">
        <w:tc>
          <w:tcPr>
            <w:cnfStyle w:val="001000000000" w:firstRow="0" w:lastRow="0" w:firstColumn="1" w:lastColumn="0" w:oddVBand="0" w:evenVBand="0" w:oddHBand="0" w:evenHBand="0" w:firstRowFirstColumn="0" w:firstRowLastColumn="0" w:lastRowFirstColumn="0" w:lastRowLastColumn="0"/>
            <w:tcW w:w="1276" w:type="dxa"/>
            <w:shd w:val="clear" w:color="auto" w:fill="808080" w:themeFill="background1" w:themeFillShade="80"/>
          </w:tcPr>
          <w:p w14:paraId="776C4E26"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0</w:t>
            </w:r>
          </w:p>
        </w:tc>
        <w:tc>
          <w:tcPr>
            <w:tcW w:w="1276" w:type="dxa"/>
            <w:shd w:val="clear" w:color="auto" w:fill="808080" w:themeFill="background1" w:themeFillShade="80"/>
          </w:tcPr>
          <w:p w14:paraId="10FEF008"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67.000</w:t>
            </w:r>
          </w:p>
        </w:tc>
        <w:tc>
          <w:tcPr>
            <w:tcW w:w="1276" w:type="dxa"/>
          </w:tcPr>
          <w:p w14:paraId="1F4B2FDC"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24,500%</w:t>
            </w:r>
          </w:p>
        </w:tc>
        <w:tc>
          <w:tcPr>
            <w:tcW w:w="1276" w:type="dxa"/>
          </w:tcPr>
          <w:p w14:paraId="2277D34E"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24,500%</w:t>
            </w:r>
          </w:p>
        </w:tc>
      </w:tr>
      <w:tr w:rsidR="00A20DF9" w:rsidRPr="0097338D" w14:paraId="2AD2EB4D" w14:textId="77777777" w:rsidTr="00A20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808080" w:themeFill="background1" w:themeFillShade="80"/>
          </w:tcPr>
          <w:p w14:paraId="0841C075"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67.000</w:t>
            </w:r>
          </w:p>
        </w:tc>
        <w:tc>
          <w:tcPr>
            <w:tcW w:w="1276" w:type="dxa"/>
            <w:tcBorders>
              <w:bottom w:val="single" w:sz="18" w:space="0" w:color="auto"/>
            </w:tcBorders>
            <w:shd w:val="clear" w:color="auto" w:fill="808080" w:themeFill="background1" w:themeFillShade="80"/>
          </w:tcPr>
          <w:p w14:paraId="5D810C2A"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w:t>
            </w:r>
          </w:p>
        </w:tc>
        <w:tc>
          <w:tcPr>
            <w:tcW w:w="1276" w:type="dxa"/>
            <w:tcBorders>
              <w:bottom w:val="single" w:sz="18" w:space="0" w:color="auto"/>
            </w:tcBorders>
            <w:shd w:val="clear" w:color="auto" w:fill="D8D8D8"/>
          </w:tcPr>
          <w:p w14:paraId="3ABC81EC"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33,000%</w:t>
            </w:r>
          </w:p>
        </w:tc>
        <w:tc>
          <w:tcPr>
            <w:tcW w:w="1276" w:type="dxa"/>
            <w:tcBorders>
              <w:bottom w:val="single" w:sz="18" w:space="0" w:color="auto"/>
            </w:tcBorders>
            <w:shd w:val="clear" w:color="auto" w:fill="D8D8D8"/>
          </w:tcPr>
          <w:p w14:paraId="6CD10C54"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31,000%</w:t>
            </w:r>
          </w:p>
        </w:tc>
      </w:tr>
    </w:tbl>
    <w:p w14:paraId="5E2D4B39" w14:textId="7777777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 xml:space="preserve">Houd er wel rekening mee dat vanaf 2025 de algemene heffingskorting (AHK) wordt verlaagd met ook het box 2-inkomen. Tot en met 2024 wordt de AHK alleen gekort met inkomen in box 1 (zoals het </w:t>
      </w:r>
      <w:proofErr w:type="spellStart"/>
      <w:r w:rsidRPr="0097338D">
        <w:rPr>
          <w:rFonts w:ascii="Arial" w:hAnsi="Arial" w:cs="Arial"/>
          <w:color w:val="000000" w:themeColor="text1"/>
          <w:sz w:val="22"/>
        </w:rPr>
        <w:t>dga</w:t>
      </w:r>
      <w:proofErr w:type="spellEnd"/>
      <w:r w:rsidRPr="0097338D">
        <w:rPr>
          <w:rFonts w:ascii="Arial" w:hAnsi="Arial" w:cs="Arial"/>
          <w:color w:val="000000" w:themeColor="text1"/>
          <w:sz w:val="22"/>
        </w:rPr>
        <w:t>-loon), maar vanaf 2025 ook met inkomen in box 2 en box 3. De korting op de AHK vindt plaats met inkomen tot € 76.816.</w:t>
      </w:r>
    </w:p>
    <w:p w14:paraId="76A81847" w14:textId="7777777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 xml:space="preserve">Vooral </w:t>
      </w:r>
      <w:proofErr w:type="spellStart"/>
      <w:r w:rsidRPr="0097338D">
        <w:rPr>
          <w:rFonts w:ascii="Arial" w:hAnsi="Arial" w:cs="Arial"/>
          <w:color w:val="000000" w:themeColor="text1"/>
          <w:sz w:val="22"/>
        </w:rPr>
        <w:t>dga’s</w:t>
      </w:r>
      <w:proofErr w:type="spellEnd"/>
      <w:r w:rsidRPr="0097338D">
        <w:rPr>
          <w:rFonts w:ascii="Arial" w:hAnsi="Arial" w:cs="Arial"/>
          <w:color w:val="000000" w:themeColor="text1"/>
          <w:sz w:val="22"/>
        </w:rPr>
        <w:t xml:space="preserve"> (of fiscaal partner) met een inkomen dat lager is dan € 76.816, kunnen beter nog dit jaar dividend uitkeren dan pas volgend jaar. Want dit jaar is de heffing in de eerste box 2-schijf sowieso maximaal 24,5%, maar volgend jaar kan die effectief 31% worden, omdat u ook afgerond 6,5% minder AHK krijgt.</w:t>
      </w:r>
    </w:p>
    <w:p w14:paraId="7067771C" w14:textId="1EA00EFA"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De 24,5%-schijf van € 67.000 geldt per persoon. Fiscaal partners mogen twee keer die schijf benutten, ongeacht wie het dividend geniet.</w:t>
      </w:r>
    </w:p>
    <w:p w14:paraId="0990A51B" w14:textId="6D3A9D8A"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lastRenderedPageBreak/>
        <w:t>Daarnaast is het sowieso verstandig om goed na te denken over uw dividendbeleid. Door elk jaar wat dividend uit te keren, kunt wellicht steeds gebruik maken van de lage box 2-schijf. Als u winsten in een bv oppot, en later ineens tot uitkering laat komen, valt het dividend wellicht gedeeltelijk in de hoge box 2-schijf. En dat betekent een hogere belastingheffing.</w:t>
      </w:r>
    </w:p>
    <w:p w14:paraId="0D1AB96E" w14:textId="77777777" w:rsidR="00A20DF9" w:rsidRPr="0097338D" w:rsidRDefault="00A20DF9" w:rsidP="00A20DF9">
      <w:pPr>
        <w:jc w:val="both"/>
        <w:rPr>
          <w:rFonts w:ascii="Arial" w:hAnsi="Arial" w:cs="Arial"/>
          <w:szCs w:val="32"/>
        </w:rPr>
      </w:pPr>
      <w:r w:rsidRPr="0097338D">
        <w:rPr>
          <w:rFonts w:ascii="Arial" w:hAnsi="Arial" w:cs="Arial"/>
          <w:szCs w:val="32"/>
        </w:rPr>
        <w:t>Vennootschapsbelasting</w:t>
      </w:r>
    </w:p>
    <w:p w14:paraId="5548626A" w14:textId="1E079ECF" w:rsidR="00A20DF9" w:rsidRPr="0097338D" w:rsidRDefault="00A20DF9" w:rsidP="0097338D">
      <w:pPr>
        <w:rPr>
          <w:rFonts w:ascii="Arial" w:hAnsi="Arial" w:cs="Arial"/>
          <w:color w:val="auto"/>
          <w:sz w:val="22"/>
        </w:rPr>
      </w:pPr>
      <w:r w:rsidRPr="0097338D">
        <w:rPr>
          <w:rFonts w:ascii="Arial" w:hAnsi="Arial" w:cs="Arial"/>
          <w:color w:val="auto"/>
          <w:sz w:val="22"/>
        </w:rPr>
        <w:t>De vennootschapsbelasting wijzigt komend jaar niet. De eerste schijf van € 200.000 blijft belast tegen 19%, het meerdere tegen 25,8%. Dit is al het derde jaar op rij dat de vennootschapsbelasting niet wijzigt.</w:t>
      </w:r>
    </w:p>
    <w:p w14:paraId="3BF4EDC4" w14:textId="256420ED"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 xml:space="preserve">Doordat de vennootschapsbelasting twee schijven kent, is het bij meerdere bv’s belangrijk om goed na te denken over de winsten in die bv’s. Uw NOAB-adviseur kan u daarbij helpen. Daarbij moet u denken aan een holding met een winst van € 50.000 en een werkmaatschappij met een winst van € 350.000. Die hebben samen € 400.000 winst. Maar een deel van de winst van de werkmaatschappij wordt belast tegen 25,8%, terwijl de holding nog ‘ruimte’ in de eerste schijf heeft. Onder omstandigheden is het mogelijk om de belastbare winsten te beïnvloeden, bijvoorbeeld via een </w:t>
      </w:r>
      <w:proofErr w:type="spellStart"/>
      <w:r w:rsidRPr="0097338D">
        <w:rPr>
          <w:rFonts w:ascii="Arial" w:hAnsi="Arial" w:cs="Arial"/>
          <w:color w:val="000000" w:themeColor="text1"/>
          <w:sz w:val="22"/>
        </w:rPr>
        <w:t>tussenjaarse</w:t>
      </w:r>
      <w:proofErr w:type="spellEnd"/>
      <w:r w:rsidRPr="0097338D">
        <w:rPr>
          <w:rFonts w:ascii="Arial" w:hAnsi="Arial" w:cs="Arial"/>
          <w:color w:val="000000" w:themeColor="text1"/>
          <w:sz w:val="22"/>
        </w:rPr>
        <w:t xml:space="preserve"> fiscale eenheid. Dat kan vennootschapsbelasting besparen. In bovengenoemd voorbeeld maximaal € 10.200.</w:t>
      </w:r>
    </w:p>
    <w:p w14:paraId="3E523C50" w14:textId="77777777" w:rsidR="00A20DF9" w:rsidRPr="0097338D" w:rsidRDefault="00A20DF9" w:rsidP="00A20DF9">
      <w:pPr>
        <w:jc w:val="both"/>
        <w:rPr>
          <w:rFonts w:ascii="Arial" w:hAnsi="Arial" w:cs="Arial"/>
          <w:szCs w:val="32"/>
        </w:rPr>
      </w:pPr>
      <w:r w:rsidRPr="0097338D">
        <w:rPr>
          <w:rFonts w:ascii="Arial" w:hAnsi="Arial" w:cs="Arial"/>
          <w:szCs w:val="32"/>
        </w:rPr>
        <w:t>Integrale tarief</w:t>
      </w:r>
    </w:p>
    <w:p w14:paraId="0C7A2239" w14:textId="1A623202"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Als u winst in uw bv haalt, betaalt u eerst vennootschapsbelasting. Als u daarna die netto winst als dividend uitkeert, betaalt u over dat dividend box 2-heffing. Beide belastingen zijn progressief.</w:t>
      </w:r>
    </w:p>
    <w:p w14:paraId="108BB76E" w14:textId="60E9E9AA" w:rsidR="00A20DF9" w:rsidRPr="0097338D" w:rsidRDefault="00A20DF9" w:rsidP="0097338D">
      <w:pPr>
        <w:jc w:val="both"/>
        <w:rPr>
          <w:rFonts w:ascii="Arial" w:hAnsi="Arial" w:cs="Arial"/>
          <w:sz w:val="22"/>
        </w:rPr>
      </w:pPr>
      <w:r w:rsidRPr="0097338D">
        <w:rPr>
          <w:rFonts w:ascii="Arial" w:hAnsi="Arial" w:cs="Arial"/>
          <w:color w:val="000000" w:themeColor="text1"/>
          <w:sz w:val="22"/>
        </w:rPr>
        <w:t>In een tabel komt dat als volgt tot uitdrukking:</w:t>
      </w:r>
    </w:p>
    <w:tbl>
      <w:tblPr>
        <w:tblStyle w:val="Gemiddeldearcering2-accent1"/>
        <w:tblW w:w="0" w:type="auto"/>
        <w:tblLayout w:type="fixed"/>
        <w:tblLook w:val="04A0" w:firstRow="1" w:lastRow="0" w:firstColumn="1" w:lastColumn="0" w:noHBand="0" w:noVBand="1"/>
      </w:tblPr>
      <w:tblGrid>
        <w:gridCol w:w="2552"/>
        <w:gridCol w:w="1276"/>
        <w:gridCol w:w="1277"/>
        <w:gridCol w:w="1277"/>
        <w:gridCol w:w="1277"/>
      </w:tblGrid>
      <w:tr w:rsidR="00A20DF9" w:rsidRPr="0097338D" w14:paraId="5D5AAB70" w14:textId="77777777" w:rsidTr="00900A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Borders>
              <w:bottom w:val="nil"/>
            </w:tcBorders>
            <w:shd w:val="clear" w:color="auto" w:fill="808080" w:themeFill="background1" w:themeFillShade="80"/>
          </w:tcPr>
          <w:p w14:paraId="5B08B4A0"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Belastingheffing</w:t>
            </w:r>
          </w:p>
        </w:tc>
        <w:tc>
          <w:tcPr>
            <w:tcW w:w="2553" w:type="dxa"/>
            <w:gridSpan w:val="2"/>
            <w:tcBorders>
              <w:bottom w:val="nil"/>
            </w:tcBorders>
            <w:shd w:val="clear" w:color="auto" w:fill="808080" w:themeFill="background1" w:themeFillShade="80"/>
          </w:tcPr>
          <w:p w14:paraId="78064AC5" w14:textId="77777777" w:rsidR="00A20DF9" w:rsidRPr="0097338D" w:rsidRDefault="00A20DF9" w:rsidP="00900AD4">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Winst ≤ € 200.000</w:t>
            </w:r>
          </w:p>
        </w:tc>
        <w:tc>
          <w:tcPr>
            <w:tcW w:w="2554" w:type="dxa"/>
            <w:gridSpan w:val="2"/>
            <w:tcBorders>
              <w:bottom w:val="nil"/>
            </w:tcBorders>
            <w:shd w:val="clear" w:color="auto" w:fill="808080" w:themeFill="background1" w:themeFillShade="80"/>
          </w:tcPr>
          <w:p w14:paraId="246F4FF2" w14:textId="77777777" w:rsidR="00A20DF9" w:rsidRPr="0097338D" w:rsidRDefault="00A20DF9" w:rsidP="00900AD4">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Winst &gt; € 200.000</w:t>
            </w:r>
          </w:p>
        </w:tc>
      </w:tr>
      <w:tr w:rsidR="00900AD4" w:rsidRPr="0097338D" w14:paraId="6881BE60" w14:textId="77777777" w:rsidTr="00900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18" w:space="0" w:color="auto"/>
            </w:tcBorders>
            <w:shd w:val="clear" w:color="auto" w:fill="808080" w:themeFill="background1" w:themeFillShade="80"/>
          </w:tcPr>
          <w:p w14:paraId="7A6FCE30"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Box 2-tarief</w:t>
            </w:r>
          </w:p>
        </w:tc>
        <w:tc>
          <w:tcPr>
            <w:tcW w:w="1276" w:type="dxa"/>
            <w:tcBorders>
              <w:top w:val="nil"/>
              <w:bottom w:val="single" w:sz="18" w:space="0" w:color="auto"/>
            </w:tcBorders>
            <w:shd w:val="clear" w:color="auto" w:fill="808080" w:themeFill="background1" w:themeFillShade="80"/>
          </w:tcPr>
          <w:p w14:paraId="2E45F3DC"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 xml:space="preserve">24,5% </w:t>
            </w:r>
          </w:p>
        </w:tc>
        <w:tc>
          <w:tcPr>
            <w:tcW w:w="1277" w:type="dxa"/>
            <w:tcBorders>
              <w:top w:val="nil"/>
              <w:bottom w:val="single" w:sz="18" w:space="0" w:color="auto"/>
            </w:tcBorders>
            <w:shd w:val="clear" w:color="auto" w:fill="808080" w:themeFill="background1" w:themeFillShade="80"/>
          </w:tcPr>
          <w:p w14:paraId="4CA91277"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31,0%</w:t>
            </w:r>
          </w:p>
        </w:tc>
        <w:tc>
          <w:tcPr>
            <w:tcW w:w="1277" w:type="dxa"/>
            <w:tcBorders>
              <w:top w:val="nil"/>
              <w:bottom w:val="single" w:sz="18" w:space="0" w:color="auto"/>
            </w:tcBorders>
            <w:shd w:val="clear" w:color="auto" w:fill="808080" w:themeFill="background1" w:themeFillShade="80"/>
          </w:tcPr>
          <w:p w14:paraId="0D364D61"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 xml:space="preserve">24,5% </w:t>
            </w:r>
          </w:p>
        </w:tc>
        <w:tc>
          <w:tcPr>
            <w:tcW w:w="1277" w:type="dxa"/>
            <w:tcBorders>
              <w:top w:val="nil"/>
              <w:bottom w:val="single" w:sz="18" w:space="0" w:color="auto"/>
            </w:tcBorders>
            <w:shd w:val="clear" w:color="auto" w:fill="808080" w:themeFill="background1" w:themeFillShade="80"/>
          </w:tcPr>
          <w:p w14:paraId="77433629"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31,0%</w:t>
            </w:r>
          </w:p>
        </w:tc>
      </w:tr>
      <w:tr w:rsidR="00A20DF9" w:rsidRPr="0097338D" w14:paraId="4CE51BF5" w14:textId="77777777" w:rsidTr="00900AD4">
        <w:tc>
          <w:tcPr>
            <w:cnfStyle w:val="001000000000" w:firstRow="0" w:lastRow="0" w:firstColumn="1" w:lastColumn="0" w:oddVBand="0" w:evenVBand="0" w:oddHBand="0" w:evenHBand="0" w:firstRowFirstColumn="0" w:firstRowLastColumn="0" w:lastRowFirstColumn="0" w:lastRowLastColumn="0"/>
            <w:tcW w:w="2552" w:type="dxa"/>
            <w:tcBorders>
              <w:top w:val="single" w:sz="18" w:space="0" w:color="auto"/>
            </w:tcBorders>
            <w:shd w:val="clear" w:color="auto" w:fill="808080" w:themeFill="background1" w:themeFillShade="80"/>
          </w:tcPr>
          <w:p w14:paraId="54714FE7"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Winst bv</w:t>
            </w:r>
          </w:p>
        </w:tc>
        <w:tc>
          <w:tcPr>
            <w:tcW w:w="1276" w:type="dxa"/>
            <w:tcBorders>
              <w:top w:val="single" w:sz="18" w:space="0" w:color="auto"/>
              <w:bottom w:val="nil"/>
            </w:tcBorders>
          </w:tcPr>
          <w:p w14:paraId="1A132165"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100,000%</w:t>
            </w:r>
          </w:p>
        </w:tc>
        <w:tc>
          <w:tcPr>
            <w:tcW w:w="1277" w:type="dxa"/>
            <w:tcBorders>
              <w:top w:val="single" w:sz="18" w:space="0" w:color="auto"/>
              <w:bottom w:val="nil"/>
            </w:tcBorders>
          </w:tcPr>
          <w:p w14:paraId="6AF4D650"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100,000%</w:t>
            </w:r>
          </w:p>
        </w:tc>
        <w:tc>
          <w:tcPr>
            <w:tcW w:w="1277" w:type="dxa"/>
            <w:tcBorders>
              <w:top w:val="single" w:sz="18" w:space="0" w:color="auto"/>
              <w:bottom w:val="nil"/>
            </w:tcBorders>
          </w:tcPr>
          <w:p w14:paraId="4DCEA4DC"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100,000%</w:t>
            </w:r>
          </w:p>
        </w:tc>
        <w:tc>
          <w:tcPr>
            <w:tcW w:w="1277" w:type="dxa"/>
            <w:tcBorders>
              <w:top w:val="single" w:sz="18" w:space="0" w:color="auto"/>
              <w:bottom w:val="nil"/>
            </w:tcBorders>
          </w:tcPr>
          <w:p w14:paraId="0B97780C"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100,000%</w:t>
            </w:r>
          </w:p>
        </w:tc>
      </w:tr>
      <w:tr w:rsidR="00A20DF9" w:rsidRPr="0097338D" w14:paraId="2F3EAD2E" w14:textId="77777777" w:rsidTr="00900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808080" w:themeFill="background1" w:themeFillShade="80"/>
          </w:tcPr>
          <w:p w14:paraId="0C6E574E" w14:textId="77777777" w:rsidR="00A20DF9" w:rsidRPr="0097338D" w:rsidRDefault="00A20DF9" w:rsidP="00900AD4">
            <w:pPr>
              <w:pStyle w:val="Geenafstand"/>
              <w:rPr>
                <w:rFonts w:ascii="Arial" w:hAnsi="Arial" w:cs="Arial"/>
                <w:color w:val="FFFFFF" w:themeColor="background1"/>
                <w:sz w:val="22"/>
                <w:szCs w:val="22"/>
              </w:rPr>
            </w:pPr>
            <w:proofErr w:type="spellStart"/>
            <w:r w:rsidRPr="0097338D">
              <w:rPr>
                <w:rFonts w:ascii="Arial" w:hAnsi="Arial" w:cs="Arial"/>
                <w:color w:val="FFFFFF" w:themeColor="background1"/>
                <w:sz w:val="22"/>
                <w:szCs w:val="22"/>
              </w:rPr>
              <w:t>Vpb</w:t>
            </w:r>
            <w:proofErr w:type="spellEnd"/>
          </w:p>
        </w:tc>
        <w:tc>
          <w:tcPr>
            <w:tcW w:w="1276" w:type="dxa"/>
            <w:tcBorders>
              <w:top w:val="nil"/>
              <w:bottom w:val="single" w:sz="4" w:space="0" w:color="auto"/>
            </w:tcBorders>
          </w:tcPr>
          <w:p w14:paraId="001801E3"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-19,000%</w:t>
            </w:r>
          </w:p>
        </w:tc>
        <w:tc>
          <w:tcPr>
            <w:tcW w:w="1277" w:type="dxa"/>
            <w:tcBorders>
              <w:top w:val="nil"/>
              <w:bottom w:val="single" w:sz="4" w:space="0" w:color="auto"/>
            </w:tcBorders>
          </w:tcPr>
          <w:p w14:paraId="340D1DEF"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-19,000%</w:t>
            </w:r>
          </w:p>
        </w:tc>
        <w:tc>
          <w:tcPr>
            <w:tcW w:w="1277" w:type="dxa"/>
            <w:tcBorders>
              <w:top w:val="nil"/>
              <w:bottom w:val="single" w:sz="4" w:space="0" w:color="auto"/>
            </w:tcBorders>
          </w:tcPr>
          <w:p w14:paraId="764223B4"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-25,800%</w:t>
            </w:r>
          </w:p>
        </w:tc>
        <w:tc>
          <w:tcPr>
            <w:tcW w:w="1277" w:type="dxa"/>
            <w:tcBorders>
              <w:top w:val="nil"/>
              <w:bottom w:val="single" w:sz="4" w:space="0" w:color="auto"/>
            </w:tcBorders>
          </w:tcPr>
          <w:p w14:paraId="62609B9C"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-25,800%</w:t>
            </w:r>
          </w:p>
        </w:tc>
      </w:tr>
      <w:tr w:rsidR="00A20DF9" w:rsidRPr="0097338D" w14:paraId="484D2F8F" w14:textId="77777777" w:rsidTr="00900AD4">
        <w:tc>
          <w:tcPr>
            <w:cnfStyle w:val="001000000000" w:firstRow="0" w:lastRow="0" w:firstColumn="1" w:lastColumn="0" w:oddVBand="0" w:evenVBand="0" w:oddHBand="0" w:evenHBand="0" w:firstRowFirstColumn="0" w:firstRowLastColumn="0" w:lastRowFirstColumn="0" w:lastRowLastColumn="0"/>
            <w:tcW w:w="2552" w:type="dxa"/>
            <w:shd w:val="clear" w:color="auto" w:fill="808080" w:themeFill="background1" w:themeFillShade="80"/>
          </w:tcPr>
          <w:p w14:paraId="12867AB5"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Nettowinst</w:t>
            </w:r>
          </w:p>
        </w:tc>
        <w:tc>
          <w:tcPr>
            <w:tcW w:w="1276" w:type="dxa"/>
            <w:tcBorders>
              <w:top w:val="single" w:sz="4" w:space="0" w:color="auto"/>
              <w:bottom w:val="nil"/>
            </w:tcBorders>
          </w:tcPr>
          <w:p w14:paraId="4C1E1FAF"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81,000%</w:t>
            </w:r>
          </w:p>
        </w:tc>
        <w:tc>
          <w:tcPr>
            <w:tcW w:w="1277" w:type="dxa"/>
            <w:tcBorders>
              <w:top w:val="single" w:sz="4" w:space="0" w:color="auto"/>
              <w:bottom w:val="nil"/>
            </w:tcBorders>
          </w:tcPr>
          <w:p w14:paraId="3AB263AD"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81,000%</w:t>
            </w:r>
          </w:p>
        </w:tc>
        <w:tc>
          <w:tcPr>
            <w:tcW w:w="1277" w:type="dxa"/>
            <w:tcBorders>
              <w:top w:val="single" w:sz="4" w:space="0" w:color="auto"/>
              <w:bottom w:val="nil"/>
            </w:tcBorders>
          </w:tcPr>
          <w:p w14:paraId="68A6BB49"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74,200%</w:t>
            </w:r>
          </w:p>
        </w:tc>
        <w:tc>
          <w:tcPr>
            <w:tcW w:w="1277" w:type="dxa"/>
            <w:tcBorders>
              <w:top w:val="single" w:sz="4" w:space="0" w:color="auto"/>
              <w:bottom w:val="nil"/>
            </w:tcBorders>
          </w:tcPr>
          <w:p w14:paraId="5F6BDEBF"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74,200%</w:t>
            </w:r>
          </w:p>
        </w:tc>
      </w:tr>
      <w:tr w:rsidR="00A20DF9" w:rsidRPr="0097338D" w14:paraId="2587D695" w14:textId="77777777" w:rsidTr="00900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808080" w:themeFill="background1" w:themeFillShade="80"/>
          </w:tcPr>
          <w:p w14:paraId="5426698C"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Box 2-heffing</w:t>
            </w:r>
          </w:p>
        </w:tc>
        <w:tc>
          <w:tcPr>
            <w:tcW w:w="1276" w:type="dxa"/>
            <w:tcBorders>
              <w:top w:val="nil"/>
              <w:bottom w:val="single" w:sz="4" w:space="0" w:color="auto"/>
            </w:tcBorders>
          </w:tcPr>
          <w:p w14:paraId="60AC0F93"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-19,845%</w:t>
            </w:r>
          </w:p>
        </w:tc>
        <w:tc>
          <w:tcPr>
            <w:tcW w:w="1277" w:type="dxa"/>
            <w:tcBorders>
              <w:top w:val="nil"/>
              <w:bottom w:val="single" w:sz="4" w:space="0" w:color="auto"/>
            </w:tcBorders>
          </w:tcPr>
          <w:p w14:paraId="43DE73F0"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-25,110%</w:t>
            </w:r>
          </w:p>
        </w:tc>
        <w:tc>
          <w:tcPr>
            <w:tcW w:w="1277" w:type="dxa"/>
            <w:tcBorders>
              <w:top w:val="nil"/>
              <w:bottom w:val="single" w:sz="4" w:space="0" w:color="auto"/>
            </w:tcBorders>
          </w:tcPr>
          <w:p w14:paraId="4812897E"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-18,179%</w:t>
            </w:r>
          </w:p>
        </w:tc>
        <w:tc>
          <w:tcPr>
            <w:tcW w:w="1277" w:type="dxa"/>
            <w:tcBorders>
              <w:top w:val="nil"/>
              <w:bottom w:val="single" w:sz="4" w:space="0" w:color="auto"/>
            </w:tcBorders>
          </w:tcPr>
          <w:p w14:paraId="0A316F4F"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-23,002%</w:t>
            </w:r>
          </w:p>
        </w:tc>
      </w:tr>
      <w:tr w:rsidR="00A20DF9" w:rsidRPr="0097338D" w14:paraId="2F0E03EB" w14:textId="77777777" w:rsidTr="00900AD4">
        <w:tc>
          <w:tcPr>
            <w:cnfStyle w:val="001000000000" w:firstRow="0" w:lastRow="0" w:firstColumn="1" w:lastColumn="0" w:oddVBand="0" w:evenVBand="0" w:oddHBand="0" w:evenHBand="0" w:firstRowFirstColumn="0" w:firstRowLastColumn="0" w:lastRowFirstColumn="0" w:lastRowLastColumn="0"/>
            <w:tcW w:w="2552" w:type="dxa"/>
            <w:shd w:val="clear" w:color="auto" w:fill="808080" w:themeFill="background1" w:themeFillShade="80"/>
          </w:tcPr>
          <w:p w14:paraId="673FE466"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Netto dividend</w:t>
            </w:r>
          </w:p>
        </w:tc>
        <w:tc>
          <w:tcPr>
            <w:tcW w:w="1276" w:type="dxa"/>
            <w:tcBorders>
              <w:top w:val="single" w:sz="4" w:space="0" w:color="auto"/>
              <w:bottom w:val="double" w:sz="4" w:space="0" w:color="auto"/>
            </w:tcBorders>
          </w:tcPr>
          <w:p w14:paraId="192A07D5"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61,155%</w:t>
            </w:r>
          </w:p>
        </w:tc>
        <w:tc>
          <w:tcPr>
            <w:tcW w:w="1277" w:type="dxa"/>
            <w:tcBorders>
              <w:top w:val="single" w:sz="4" w:space="0" w:color="auto"/>
              <w:bottom w:val="double" w:sz="4" w:space="0" w:color="auto"/>
            </w:tcBorders>
          </w:tcPr>
          <w:p w14:paraId="7C7B23A2"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55,890%</w:t>
            </w:r>
          </w:p>
        </w:tc>
        <w:tc>
          <w:tcPr>
            <w:tcW w:w="1277" w:type="dxa"/>
            <w:tcBorders>
              <w:top w:val="single" w:sz="4" w:space="0" w:color="auto"/>
              <w:bottom w:val="double" w:sz="4" w:space="0" w:color="auto"/>
            </w:tcBorders>
          </w:tcPr>
          <w:p w14:paraId="1B12F2F8"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56,021%</w:t>
            </w:r>
          </w:p>
        </w:tc>
        <w:tc>
          <w:tcPr>
            <w:tcW w:w="1277" w:type="dxa"/>
            <w:tcBorders>
              <w:top w:val="single" w:sz="4" w:space="0" w:color="auto"/>
              <w:bottom w:val="double" w:sz="4" w:space="0" w:color="auto"/>
            </w:tcBorders>
          </w:tcPr>
          <w:p w14:paraId="40FFC3F9"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51,198%</w:t>
            </w:r>
          </w:p>
        </w:tc>
      </w:tr>
      <w:tr w:rsidR="00A20DF9" w:rsidRPr="0097338D" w14:paraId="35912E13" w14:textId="77777777" w:rsidTr="00900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808080" w:themeFill="background1" w:themeFillShade="80"/>
          </w:tcPr>
          <w:p w14:paraId="47B92DC1"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Integraal tarief IB/</w:t>
            </w:r>
            <w:proofErr w:type="spellStart"/>
            <w:r w:rsidRPr="0097338D">
              <w:rPr>
                <w:rFonts w:ascii="Arial" w:hAnsi="Arial" w:cs="Arial"/>
                <w:color w:val="FFFFFF" w:themeColor="background1"/>
                <w:sz w:val="22"/>
                <w:szCs w:val="22"/>
              </w:rPr>
              <w:t>Vpb</w:t>
            </w:r>
            <w:proofErr w:type="spellEnd"/>
          </w:p>
        </w:tc>
        <w:tc>
          <w:tcPr>
            <w:tcW w:w="1276" w:type="dxa"/>
            <w:tcBorders>
              <w:top w:val="double" w:sz="4" w:space="0" w:color="auto"/>
            </w:tcBorders>
          </w:tcPr>
          <w:p w14:paraId="261D27B9"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7338D">
              <w:rPr>
                <w:rFonts w:ascii="Arial" w:hAnsi="Arial" w:cs="Arial"/>
                <w:b/>
                <w:bCs/>
                <w:sz w:val="22"/>
                <w:szCs w:val="22"/>
              </w:rPr>
              <w:t>38,845%</w:t>
            </w:r>
          </w:p>
        </w:tc>
        <w:tc>
          <w:tcPr>
            <w:tcW w:w="1277" w:type="dxa"/>
            <w:tcBorders>
              <w:top w:val="double" w:sz="4" w:space="0" w:color="auto"/>
            </w:tcBorders>
          </w:tcPr>
          <w:p w14:paraId="4789992E"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7338D">
              <w:rPr>
                <w:rFonts w:ascii="Arial" w:hAnsi="Arial" w:cs="Arial"/>
                <w:b/>
                <w:bCs/>
                <w:sz w:val="22"/>
                <w:szCs w:val="22"/>
              </w:rPr>
              <w:t>44,110%</w:t>
            </w:r>
          </w:p>
        </w:tc>
        <w:tc>
          <w:tcPr>
            <w:tcW w:w="1277" w:type="dxa"/>
            <w:tcBorders>
              <w:top w:val="double" w:sz="4" w:space="0" w:color="auto"/>
            </w:tcBorders>
          </w:tcPr>
          <w:p w14:paraId="04C663AA"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7338D">
              <w:rPr>
                <w:rFonts w:ascii="Arial" w:hAnsi="Arial" w:cs="Arial"/>
                <w:b/>
                <w:bCs/>
                <w:sz w:val="22"/>
                <w:szCs w:val="22"/>
              </w:rPr>
              <w:t>43,979%</w:t>
            </w:r>
          </w:p>
        </w:tc>
        <w:tc>
          <w:tcPr>
            <w:tcW w:w="1277" w:type="dxa"/>
            <w:tcBorders>
              <w:top w:val="double" w:sz="4" w:space="0" w:color="auto"/>
            </w:tcBorders>
          </w:tcPr>
          <w:p w14:paraId="49EA1E17"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7338D">
              <w:rPr>
                <w:rFonts w:ascii="Arial" w:hAnsi="Arial" w:cs="Arial"/>
                <w:b/>
                <w:bCs/>
                <w:sz w:val="22"/>
                <w:szCs w:val="22"/>
              </w:rPr>
              <w:t>48,802%</w:t>
            </w:r>
          </w:p>
        </w:tc>
      </w:tr>
    </w:tbl>
    <w:p w14:paraId="3745D6D2" w14:textId="7777777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Iemand die zijn winst weet te spreiden, waardoor zijn vennootschapsbelasting niet hoger is dan 19% en regelmatig dividend uitkeert waardoor zijn box 2-heffing niet hoger is dan 24,5%, betaalt uiteindelijk maar 38,845% integraal aan belastingheffing.</w:t>
      </w:r>
    </w:p>
    <w:p w14:paraId="566234AD" w14:textId="4E35B0D2" w:rsidR="00A20DF9" w:rsidRPr="0097338D" w:rsidRDefault="00A20DF9" w:rsidP="0097338D">
      <w:pPr>
        <w:rPr>
          <w:rFonts w:ascii="Arial" w:hAnsi="Arial" w:cs="Arial"/>
          <w:color w:val="auto"/>
          <w:sz w:val="22"/>
        </w:rPr>
      </w:pPr>
      <w:r w:rsidRPr="0097338D">
        <w:rPr>
          <w:rFonts w:ascii="Arial" w:hAnsi="Arial" w:cs="Arial"/>
          <w:color w:val="auto"/>
          <w:sz w:val="22"/>
        </w:rPr>
        <w:t xml:space="preserve">In een worst case scenario, waarbij de winst in de bv wordt belast tegen 25,8% en het dividend tegen de hoge box 2-schijf van 31%, betaalt de </w:t>
      </w:r>
      <w:proofErr w:type="spellStart"/>
      <w:r w:rsidRPr="0097338D">
        <w:rPr>
          <w:rFonts w:ascii="Arial" w:hAnsi="Arial" w:cs="Arial"/>
          <w:color w:val="auto"/>
          <w:sz w:val="22"/>
        </w:rPr>
        <w:t>dga</w:t>
      </w:r>
      <w:proofErr w:type="spellEnd"/>
      <w:r w:rsidRPr="0097338D">
        <w:rPr>
          <w:rFonts w:ascii="Arial" w:hAnsi="Arial" w:cs="Arial"/>
          <w:color w:val="auto"/>
          <w:sz w:val="22"/>
        </w:rPr>
        <w:t xml:space="preserve"> integraal 48,802% belastingheffing.</w:t>
      </w:r>
      <w:r w:rsidR="0097338D" w:rsidRPr="0097338D">
        <w:rPr>
          <w:rFonts w:ascii="Arial" w:hAnsi="Arial" w:cs="Arial"/>
          <w:color w:val="auto"/>
          <w:sz w:val="22"/>
        </w:rPr>
        <w:br/>
      </w:r>
      <w:r w:rsidRPr="0097338D">
        <w:rPr>
          <w:rFonts w:ascii="Arial" w:hAnsi="Arial" w:cs="Arial"/>
          <w:color w:val="auto"/>
          <w:sz w:val="22"/>
        </w:rPr>
        <w:t xml:space="preserve">Zie hier het belang van een goede </w:t>
      </w:r>
      <w:proofErr w:type="spellStart"/>
      <w:r w:rsidRPr="0097338D">
        <w:rPr>
          <w:rFonts w:ascii="Arial" w:hAnsi="Arial" w:cs="Arial"/>
          <w:color w:val="auto"/>
          <w:sz w:val="22"/>
        </w:rPr>
        <w:t>taxmanagement</w:t>
      </w:r>
      <w:proofErr w:type="spellEnd"/>
      <w:r w:rsidRPr="0097338D">
        <w:rPr>
          <w:rFonts w:ascii="Arial" w:hAnsi="Arial" w:cs="Arial"/>
          <w:color w:val="auto"/>
          <w:sz w:val="22"/>
        </w:rPr>
        <w:t>.</w:t>
      </w:r>
    </w:p>
    <w:p w14:paraId="2937372C" w14:textId="77777777" w:rsidR="00A20DF9" w:rsidRPr="0097338D" w:rsidRDefault="00A20DF9" w:rsidP="00A20DF9">
      <w:pPr>
        <w:jc w:val="both"/>
        <w:rPr>
          <w:rFonts w:ascii="Arial" w:hAnsi="Arial" w:cs="Arial"/>
          <w:szCs w:val="32"/>
        </w:rPr>
      </w:pPr>
      <w:r w:rsidRPr="0097338D">
        <w:rPr>
          <w:rFonts w:ascii="Arial" w:hAnsi="Arial" w:cs="Arial"/>
          <w:szCs w:val="32"/>
        </w:rPr>
        <w:lastRenderedPageBreak/>
        <w:t>Renteaftrek voor vastgoed-bv’s</w:t>
      </w:r>
    </w:p>
    <w:p w14:paraId="464C499B" w14:textId="489B6D75"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Als een vastgoed-bv beleggingsvastgoed heeft gefinancierd met vreemd vermogen, is tot en met 2024 de rente voor kleine beleggers nagenoeg altijd volledig aftrekbaar voor de vennootschapsbelasting, omdat de eerste € 1 miljoen aan betaalde rente sowieso fiscaal aftrekbaar is.</w:t>
      </w:r>
    </w:p>
    <w:p w14:paraId="4F545CEE" w14:textId="0DC31054"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Dat gaat vanaf 2025 veranderen. Die drempel van € 1 miljoen komt te vervallen. Rente is dan alleen nog maar aftrekbaar tot maximaal 25% van de EBITDA, ofwel 25% van het operationele bedrijfsresultaat vóór afschrijvingen, rentelasten, belastingen en op- of afwaarderingen. Niet aftrekbare rente kan later onder voorwaarden alsnog aftrekbaar zijn.</w:t>
      </w:r>
    </w:p>
    <w:p w14:paraId="65198466" w14:textId="291C734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Deze maatregel geldt voor alle bv’s die vastgoed verhuren aan derden. Het begrip ‘vastgoed-bv’ en het begrip ‘derden’ is exact in de nieuwe wetgeving omschreven. Als u vastgoed vanuit uw bv verhuurt, is het verstandig om in overleg met uw NOAB-adviseur te treden om te bezien of deze maatregel ook voor u gevolgen heeft. Dit, omdat het een complexe maatregel is, die stiekem vaak kan spelen, ook bij mkb-ondernemingen.</w:t>
      </w:r>
    </w:p>
    <w:p w14:paraId="1EF93C5C" w14:textId="7777777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Het kan dan bijvoorbeeld aantrekkelijk zijn om leningen af te lossen met eigen vermogen in de bv of door eigen vermogen uit privé in die bv te storten en met dat geld de leningen af te lossen.</w:t>
      </w:r>
    </w:p>
    <w:p w14:paraId="7CB06901" w14:textId="668F78DC"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Dit is een hele vervelende maatregel voor bv’s die in vastgoed beleggen. Het raakt niet holdings die vastgoed aan een werkmaatschappij of zuster-bv verhuren. Zij worden niet als ‘derde’ beschouwd.</w:t>
      </w:r>
    </w:p>
    <w:p w14:paraId="16B93B75" w14:textId="77777777" w:rsidR="00A20DF9" w:rsidRPr="0097338D" w:rsidRDefault="00A20DF9" w:rsidP="00A20DF9">
      <w:pPr>
        <w:jc w:val="both"/>
        <w:rPr>
          <w:rFonts w:ascii="Arial" w:hAnsi="Arial" w:cs="Arial"/>
          <w:szCs w:val="32"/>
        </w:rPr>
      </w:pPr>
      <w:r w:rsidRPr="0097338D">
        <w:rPr>
          <w:rFonts w:ascii="Arial" w:hAnsi="Arial" w:cs="Arial"/>
          <w:szCs w:val="32"/>
        </w:rPr>
        <w:t>Giftenaftrek</w:t>
      </w:r>
    </w:p>
    <w:p w14:paraId="5B2AC727" w14:textId="7777777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Giften die een bv doet aan een ANBI of steunstichting SBB zijn vanaf 1 januari 2025 niet meer aftrekbaar voor de vennootschapsbelasting. Let wel, dat geldt alleen voor vennoot-schapsbelastingplichtige lichamen zoals bv’s, niet voor particulieren met een giftenaftrek in de inkomstenbelasting.</w:t>
      </w:r>
    </w:p>
    <w:p w14:paraId="5A40A1D6" w14:textId="03A41619"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 xml:space="preserve">Sterker nog, giften door een eigen bv worden vanaf 2025 aangemerkt als een dividenduitkering aan de </w:t>
      </w:r>
      <w:proofErr w:type="spellStart"/>
      <w:r w:rsidRPr="0097338D">
        <w:rPr>
          <w:rFonts w:ascii="Arial" w:hAnsi="Arial" w:cs="Arial"/>
          <w:color w:val="000000" w:themeColor="text1"/>
          <w:sz w:val="22"/>
        </w:rPr>
        <w:t>dga</w:t>
      </w:r>
      <w:proofErr w:type="spellEnd"/>
      <w:r w:rsidRPr="0097338D">
        <w:rPr>
          <w:rFonts w:ascii="Arial" w:hAnsi="Arial" w:cs="Arial"/>
          <w:color w:val="000000" w:themeColor="text1"/>
          <w:sz w:val="22"/>
        </w:rPr>
        <w:t xml:space="preserve"> zelf, met als gevolg afdracht van dividendbelasting door de bv en belastingheffing in box 2 bij de </w:t>
      </w:r>
      <w:proofErr w:type="spellStart"/>
      <w:r w:rsidRPr="0097338D">
        <w:rPr>
          <w:rFonts w:ascii="Arial" w:hAnsi="Arial" w:cs="Arial"/>
          <w:color w:val="000000" w:themeColor="text1"/>
          <w:sz w:val="22"/>
        </w:rPr>
        <w:t>dga</w:t>
      </w:r>
      <w:proofErr w:type="spellEnd"/>
      <w:r w:rsidRPr="0097338D">
        <w:rPr>
          <w:rFonts w:ascii="Arial" w:hAnsi="Arial" w:cs="Arial"/>
          <w:color w:val="000000" w:themeColor="text1"/>
          <w:sz w:val="22"/>
        </w:rPr>
        <w:t xml:space="preserve">. Daarna kan de </w:t>
      </w:r>
      <w:proofErr w:type="spellStart"/>
      <w:r w:rsidRPr="0097338D">
        <w:rPr>
          <w:rFonts w:ascii="Arial" w:hAnsi="Arial" w:cs="Arial"/>
          <w:color w:val="000000" w:themeColor="text1"/>
          <w:sz w:val="22"/>
        </w:rPr>
        <w:t>dga</w:t>
      </w:r>
      <w:proofErr w:type="spellEnd"/>
      <w:r w:rsidRPr="0097338D">
        <w:rPr>
          <w:rFonts w:ascii="Arial" w:hAnsi="Arial" w:cs="Arial"/>
          <w:color w:val="000000" w:themeColor="text1"/>
          <w:sz w:val="22"/>
        </w:rPr>
        <w:t xml:space="preserve"> in privé die gift onder voorwaarden weer wel aftrekken voor de inkomstenbelasting. Een van de voorwaarden daarvoor is dat een aftrek-drempel moet worden overschreden.</w:t>
      </w:r>
    </w:p>
    <w:p w14:paraId="5A11355B" w14:textId="77777777" w:rsidR="00A20DF9" w:rsidRDefault="00A20DF9" w:rsidP="00A20DF9">
      <w:pPr>
        <w:jc w:val="both"/>
        <w:rPr>
          <w:rFonts w:ascii="Arial" w:hAnsi="Arial" w:cs="Arial"/>
          <w:color w:val="000000" w:themeColor="text1"/>
          <w:sz w:val="22"/>
        </w:rPr>
      </w:pPr>
      <w:r w:rsidRPr="0097338D">
        <w:rPr>
          <w:rFonts w:ascii="Arial" w:hAnsi="Arial" w:cs="Arial"/>
          <w:color w:val="000000" w:themeColor="text1"/>
          <w:sz w:val="22"/>
        </w:rPr>
        <w:t>Mocht u overwegen om vanuit uw bv nog een gift te willen doen, dan kan dat daarom beter nog voor 1 januari aanstaande plaatsvinden.</w:t>
      </w:r>
    </w:p>
    <w:p w14:paraId="6942205E" w14:textId="77777777" w:rsidR="0097338D" w:rsidRDefault="0097338D" w:rsidP="00A20DF9">
      <w:pPr>
        <w:jc w:val="both"/>
        <w:rPr>
          <w:rFonts w:ascii="Arial" w:hAnsi="Arial" w:cs="Arial"/>
          <w:color w:val="000000" w:themeColor="text1"/>
          <w:sz w:val="22"/>
        </w:rPr>
      </w:pPr>
    </w:p>
    <w:p w14:paraId="4B3CE05B" w14:textId="77777777" w:rsidR="0097338D" w:rsidRPr="0097338D" w:rsidRDefault="0097338D" w:rsidP="00A20DF9">
      <w:pPr>
        <w:jc w:val="both"/>
        <w:rPr>
          <w:rFonts w:ascii="Arial" w:hAnsi="Arial" w:cs="Arial"/>
          <w:color w:val="000000" w:themeColor="text1"/>
          <w:sz w:val="22"/>
        </w:rPr>
      </w:pPr>
    </w:p>
    <w:p w14:paraId="6138D845" w14:textId="77777777" w:rsidR="00A20DF9" w:rsidRPr="0097338D" w:rsidRDefault="00A20DF9" w:rsidP="00A20DF9">
      <w:pPr>
        <w:jc w:val="both"/>
        <w:rPr>
          <w:rFonts w:ascii="Arial" w:hAnsi="Arial" w:cs="Arial"/>
          <w:szCs w:val="32"/>
        </w:rPr>
      </w:pPr>
      <w:r w:rsidRPr="0097338D">
        <w:rPr>
          <w:rFonts w:ascii="Arial" w:hAnsi="Arial" w:cs="Arial"/>
          <w:szCs w:val="32"/>
        </w:rPr>
        <w:lastRenderedPageBreak/>
        <w:t>Excessief lenen</w:t>
      </w:r>
    </w:p>
    <w:p w14:paraId="2D1A4FB9" w14:textId="5CCDC4B4"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 xml:space="preserve">Dit is op zich geen nieuwe maatregel. Als een </w:t>
      </w:r>
      <w:proofErr w:type="spellStart"/>
      <w:r w:rsidRPr="0097338D">
        <w:rPr>
          <w:rFonts w:ascii="Arial" w:hAnsi="Arial" w:cs="Arial"/>
          <w:color w:val="000000" w:themeColor="text1"/>
          <w:sz w:val="22"/>
        </w:rPr>
        <w:t>dga</w:t>
      </w:r>
      <w:proofErr w:type="spellEnd"/>
      <w:r w:rsidRPr="0097338D">
        <w:rPr>
          <w:rFonts w:ascii="Arial" w:hAnsi="Arial" w:cs="Arial"/>
          <w:color w:val="000000" w:themeColor="text1"/>
          <w:sz w:val="22"/>
        </w:rPr>
        <w:t xml:space="preserve"> (samen met zijn fiscaal partner) teveel leent van zijn eigen bv, wordt het meerdere aangemerkt als dividend. Die grens bedroeg op 31 december 2023 nog € 700.000, maar bedraagt vanaf 31 december 2024 € 500.000. De grens voor excessief lenen is dus met € 200.000 verlaagd.</w:t>
      </w:r>
    </w:p>
    <w:p w14:paraId="12F5FA80" w14:textId="540A0F25"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Als het ernaar uitziet dat u en/of uw fiscaal partner op 31 december 2024 meer dan € 500.000 bij uw eigen bv hebt geleend, is het verstandig om met uw NOAB-adviseur contact op te nemen om te bezien of het verstandig is om dat te voorkomen, en zo ja, hoe. Vaak zal er niet eenvoudig, zo niet onmogelijk zijn om een oplossing te bedenken zijn, maar soms ook weer wel.</w:t>
      </w:r>
    </w:p>
    <w:p w14:paraId="0197B794" w14:textId="77777777" w:rsidR="00A20DF9" w:rsidRPr="0097338D" w:rsidRDefault="00A20DF9" w:rsidP="00A20DF9">
      <w:pPr>
        <w:jc w:val="both"/>
        <w:rPr>
          <w:rFonts w:ascii="Arial" w:hAnsi="Arial" w:cs="Arial"/>
          <w:szCs w:val="32"/>
        </w:rPr>
      </w:pPr>
      <w:proofErr w:type="spellStart"/>
      <w:r w:rsidRPr="0097338D">
        <w:rPr>
          <w:rFonts w:ascii="Arial" w:hAnsi="Arial" w:cs="Arial"/>
          <w:szCs w:val="32"/>
        </w:rPr>
        <w:t>Dga</w:t>
      </w:r>
      <w:proofErr w:type="spellEnd"/>
      <w:r w:rsidRPr="0097338D">
        <w:rPr>
          <w:rFonts w:ascii="Arial" w:hAnsi="Arial" w:cs="Arial"/>
          <w:szCs w:val="32"/>
        </w:rPr>
        <w:t>-loon</w:t>
      </w:r>
    </w:p>
    <w:p w14:paraId="346A4949" w14:textId="7777777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 xml:space="preserve">Het </w:t>
      </w:r>
      <w:proofErr w:type="spellStart"/>
      <w:r w:rsidRPr="0097338D">
        <w:rPr>
          <w:rFonts w:ascii="Arial" w:hAnsi="Arial" w:cs="Arial"/>
          <w:color w:val="000000" w:themeColor="text1"/>
          <w:sz w:val="22"/>
        </w:rPr>
        <w:t>dga</w:t>
      </w:r>
      <w:proofErr w:type="spellEnd"/>
      <w:r w:rsidRPr="0097338D">
        <w:rPr>
          <w:rFonts w:ascii="Arial" w:hAnsi="Arial" w:cs="Arial"/>
          <w:color w:val="000000" w:themeColor="text1"/>
          <w:sz w:val="22"/>
        </w:rPr>
        <w:t>-loon wordt op 1 januari 2025 waarschijnlijk verhoogd van € 56.000 naar € 57.000. De exacte verhoging is nog niet bekend. Dat wordt pas eind december 2024 bekend gemaakt.</w:t>
      </w:r>
    </w:p>
    <w:p w14:paraId="101C24B8" w14:textId="13A655BB"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 xml:space="preserve">De materie rondom de beloning van een </w:t>
      </w:r>
      <w:proofErr w:type="spellStart"/>
      <w:r w:rsidRPr="0097338D">
        <w:rPr>
          <w:rFonts w:ascii="Arial" w:hAnsi="Arial" w:cs="Arial"/>
          <w:color w:val="000000" w:themeColor="text1"/>
          <w:sz w:val="22"/>
        </w:rPr>
        <w:t>dga</w:t>
      </w:r>
      <w:proofErr w:type="spellEnd"/>
      <w:r w:rsidRPr="0097338D">
        <w:rPr>
          <w:rFonts w:ascii="Arial" w:hAnsi="Arial" w:cs="Arial"/>
          <w:color w:val="000000" w:themeColor="text1"/>
          <w:sz w:val="22"/>
        </w:rPr>
        <w:t xml:space="preserve"> is complex. Maar omdat een verhoging van het </w:t>
      </w:r>
      <w:proofErr w:type="spellStart"/>
      <w:r w:rsidRPr="0097338D">
        <w:rPr>
          <w:rFonts w:ascii="Arial" w:hAnsi="Arial" w:cs="Arial"/>
          <w:color w:val="000000" w:themeColor="text1"/>
          <w:sz w:val="22"/>
        </w:rPr>
        <w:t>dga</w:t>
      </w:r>
      <w:proofErr w:type="spellEnd"/>
      <w:r w:rsidRPr="0097338D">
        <w:rPr>
          <w:rFonts w:ascii="Arial" w:hAnsi="Arial" w:cs="Arial"/>
          <w:color w:val="000000" w:themeColor="text1"/>
          <w:sz w:val="22"/>
        </w:rPr>
        <w:t>-loon doorwerkt naar andere inkomensafhankelijke voorzieningen, zoals de algemene heffingskorting, de arbeidskorting, de inkomensafhankelijke bijdrage ZVW en wellicht nog andere inkomensafhankelijke regelingen, kost die salarisverhoging relatief gezien veel inkomstenbelasting. Vaak meer dan de besparing bij de bv wegens die extra salariskosten. Ofwel, dividend uitkeren is vaak goedkoper dan extra salaris uitbetalen.</w:t>
      </w:r>
    </w:p>
    <w:p w14:paraId="14CDB10B" w14:textId="5E9C4DF2" w:rsidR="00A20DF9" w:rsidRPr="0097338D" w:rsidRDefault="00A20DF9" w:rsidP="0097338D">
      <w:pPr>
        <w:jc w:val="both"/>
        <w:rPr>
          <w:rFonts w:ascii="Arial" w:hAnsi="Arial" w:cs="Arial"/>
          <w:color w:val="000000" w:themeColor="text1"/>
          <w:sz w:val="22"/>
        </w:rPr>
      </w:pPr>
      <w:r w:rsidRPr="0097338D">
        <w:rPr>
          <w:rFonts w:ascii="Arial" w:hAnsi="Arial" w:cs="Arial"/>
          <w:color w:val="000000" w:themeColor="text1"/>
          <w:sz w:val="22"/>
        </w:rPr>
        <w:t xml:space="preserve">De marginale belastingtarieven van een </w:t>
      </w:r>
      <w:proofErr w:type="spellStart"/>
      <w:r w:rsidRPr="0097338D">
        <w:rPr>
          <w:rFonts w:ascii="Arial" w:hAnsi="Arial" w:cs="Arial"/>
          <w:color w:val="000000" w:themeColor="text1"/>
          <w:sz w:val="22"/>
        </w:rPr>
        <w:t>dga</w:t>
      </w:r>
      <w:proofErr w:type="spellEnd"/>
      <w:r w:rsidRPr="0097338D">
        <w:rPr>
          <w:rFonts w:ascii="Arial" w:hAnsi="Arial" w:cs="Arial"/>
          <w:color w:val="000000" w:themeColor="text1"/>
          <w:sz w:val="22"/>
        </w:rPr>
        <w:t xml:space="preserve"> en diens partner luiden in 2025 als volgt:</w:t>
      </w:r>
    </w:p>
    <w:tbl>
      <w:tblPr>
        <w:tblStyle w:val="Gemiddeldearcering2-accent1"/>
        <w:tblW w:w="0" w:type="auto"/>
        <w:tblLook w:val="04A0" w:firstRow="1" w:lastRow="0" w:firstColumn="1" w:lastColumn="0" w:noHBand="0" w:noVBand="1"/>
      </w:tblPr>
      <w:tblGrid>
        <w:gridCol w:w="1275"/>
        <w:gridCol w:w="1275"/>
        <w:gridCol w:w="1276"/>
        <w:gridCol w:w="1275"/>
        <w:gridCol w:w="1276"/>
        <w:gridCol w:w="1275"/>
        <w:gridCol w:w="1276"/>
      </w:tblGrid>
      <w:tr w:rsidR="00A20DF9" w:rsidRPr="0097338D" w14:paraId="352296CC" w14:textId="77777777" w:rsidTr="00900A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5" w:type="dxa"/>
            <w:shd w:val="clear" w:color="auto" w:fill="808080" w:themeFill="background1" w:themeFillShade="80"/>
          </w:tcPr>
          <w:p w14:paraId="320DACD8"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Van</w:t>
            </w:r>
          </w:p>
        </w:tc>
        <w:tc>
          <w:tcPr>
            <w:tcW w:w="1275" w:type="dxa"/>
            <w:shd w:val="clear" w:color="auto" w:fill="808080" w:themeFill="background1" w:themeFillShade="80"/>
          </w:tcPr>
          <w:p w14:paraId="51AC96A3" w14:textId="77777777" w:rsidR="00A20DF9" w:rsidRPr="0097338D" w:rsidRDefault="00A20DF9" w:rsidP="00900AD4">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Tot</w:t>
            </w:r>
          </w:p>
        </w:tc>
        <w:tc>
          <w:tcPr>
            <w:tcW w:w="1276" w:type="dxa"/>
            <w:shd w:val="clear" w:color="auto" w:fill="808080" w:themeFill="background1" w:themeFillShade="80"/>
          </w:tcPr>
          <w:p w14:paraId="651BBF95" w14:textId="77777777" w:rsidR="00A20DF9" w:rsidRPr="0097338D" w:rsidRDefault="00A20DF9" w:rsidP="00900AD4">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IB/PH</w:t>
            </w:r>
          </w:p>
        </w:tc>
        <w:tc>
          <w:tcPr>
            <w:tcW w:w="1275" w:type="dxa"/>
            <w:shd w:val="clear" w:color="auto" w:fill="808080" w:themeFill="background1" w:themeFillShade="80"/>
          </w:tcPr>
          <w:p w14:paraId="7491A532" w14:textId="77777777" w:rsidR="00A20DF9" w:rsidRPr="0097338D" w:rsidRDefault="00A20DF9" w:rsidP="00900AD4">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AHK</w:t>
            </w:r>
          </w:p>
        </w:tc>
        <w:tc>
          <w:tcPr>
            <w:tcW w:w="1276" w:type="dxa"/>
            <w:shd w:val="clear" w:color="auto" w:fill="808080" w:themeFill="background1" w:themeFillShade="80"/>
          </w:tcPr>
          <w:p w14:paraId="127B68DA" w14:textId="77777777" w:rsidR="00A20DF9" w:rsidRPr="0097338D" w:rsidRDefault="00A20DF9" w:rsidP="00900AD4">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AK</w:t>
            </w:r>
          </w:p>
        </w:tc>
        <w:tc>
          <w:tcPr>
            <w:tcW w:w="1275" w:type="dxa"/>
            <w:shd w:val="clear" w:color="auto" w:fill="808080" w:themeFill="background1" w:themeFillShade="80"/>
          </w:tcPr>
          <w:p w14:paraId="23722613" w14:textId="77777777" w:rsidR="00A20DF9" w:rsidRPr="0097338D" w:rsidRDefault="00A20DF9" w:rsidP="00900AD4">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ZVW</w:t>
            </w:r>
          </w:p>
        </w:tc>
        <w:tc>
          <w:tcPr>
            <w:tcW w:w="1276" w:type="dxa"/>
            <w:shd w:val="clear" w:color="auto" w:fill="808080" w:themeFill="background1" w:themeFillShade="80"/>
          </w:tcPr>
          <w:p w14:paraId="6D2B6730" w14:textId="77777777" w:rsidR="00A20DF9" w:rsidRPr="0097338D" w:rsidRDefault="00A20DF9" w:rsidP="00900AD4">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Effectief</w:t>
            </w:r>
          </w:p>
        </w:tc>
      </w:tr>
      <w:tr w:rsidR="00A20DF9" w:rsidRPr="0097338D" w14:paraId="3CBF5042" w14:textId="77777777" w:rsidTr="00900A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5" w:type="dxa"/>
            <w:shd w:val="clear" w:color="auto" w:fill="808080" w:themeFill="background1" w:themeFillShade="80"/>
          </w:tcPr>
          <w:p w14:paraId="0AFFDB6A"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0</w:t>
            </w:r>
          </w:p>
        </w:tc>
        <w:tc>
          <w:tcPr>
            <w:tcW w:w="1275" w:type="dxa"/>
            <w:shd w:val="clear" w:color="auto" w:fill="808080" w:themeFill="background1" w:themeFillShade="80"/>
          </w:tcPr>
          <w:p w14:paraId="14913A0B"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11.628</w:t>
            </w:r>
          </w:p>
        </w:tc>
        <w:tc>
          <w:tcPr>
            <w:tcW w:w="1276" w:type="dxa"/>
          </w:tcPr>
          <w:p w14:paraId="226C64E1"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35,820%</w:t>
            </w:r>
          </w:p>
        </w:tc>
        <w:tc>
          <w:tcPr>
            <w:tcW w:w="1275" w:type="dxa"/>
          </w:tcPr>
          <w:p w14:paraId="3366DE03"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0,000%</w:t>
            </w:r>
          </w:p>
        </w:tc>
        <w:tc>
          <w:tcPr>
            <w:tcW w:w="1276" w:type="dxa"/>
          </w:tcPr>
          <w:p w14:paraId="0C5FDD81"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-8,428%</w:t>
            </w:r>
          </w:p>
        </w:tc>
        <w:tc>
          <w:tcPr>
            <w:tcW w:w="1275" w:type="dxa"/>
          </w:tcPr>
          <w:p w14:paraId="54C14B1E"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5,260%</w:t>
            </w:r>
          </w:p>
        </w:tc>
        <w:tc>
          <w:tcPr>
            <w:tcW w:w="1276" w:type="dxa"/>
          </w:tcPr>
          <w:p w14:paraId="166BB304"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
                <w:bCs/>
                <w:iCs/>
                <w:sz w:val="22"/>
                <w:szCs w:val="22"/>
              </w:rPr>
            </w:pPr>
            <w:r w:rsidRPr="0097338D">
              <w:rPr>
                <w:rFonts w:ascii="Arial" w:hAnsi="Arial" w:cs="Arial"/>
                <w:b/>
                <w:bCs/>
                <w:iCs/>
                <w:sz w:val="22"/>
                <w:szCs w:val="22"/>
              </w:rPr>
              <w:t>32,652%</w:t>
            </w:r>
          </w:p>
        </w:tc>
      </w:tr>
      <w:tr w:rsidR="00A20DF9" w:rsidRPr="0097338D" w14:paraId="6DC63860" w14:textId="77777777" w:rsidTr="00900AD4">
        <w:tc>
          <w:tcPr>
            <w:cnfStyle w:val="001000000000" w:firstRow="0" w:lastRow="0" w:firstColumn="1" w:lastColumn="0" w:oddVBand="0" w:evenVBand="0" w:oddHBand="0" w:evenHBand="0" w:firstRowFirstColumn="0" w:firstRowLastColumn="0" w:lastRowFirstColumn="0" w:lastRowLastColumn="0"/>
            <w:tcW w:w="1275" w:type="dxa"/>
            <w:shd w:val="clear" w:color="auto" w:fill="808080" w:themeFill="background1" w:themeFillShade="80"/>
          </w:tcPr>
          <w:p w14:paraId="1276C979"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1</w:t>
            </w:r>
            <w:r w:rsidRPr="0097338D">
              <w:rPr>
                <w:rFonts w:ascii="Arial" w:hAnsi="Arial" w:cs="Arial"/>
                <w:b w:val="0"/>
                <w:bCs w:val="0"/>
                <w:color w:val="FFFFFF" w:themeColor="background1"/>
                <w:sz w:val="22"/>
                <w:szCs w:val="22"/>
              </w:rPr>
              <w:t>1.628</w:t>
            </w:r>
          </w:p>
        </w:tc>
        <w:tc>
          <w:tcPr>
            <w:tcW w:w="1275" w:type="dxa"/>
            <w:shd w:val="clear" w:color="auto" w:fill="808080" w:themeFill="background1" w:themeFillShade="80"/>
          </w:tcPr>
          <w:p w14:paraId="721BE419"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28.406</w:t>
            </w:r>
          </w:p>
        </w:tc>
        <w:tc>
          <w:tcPr>
            <w:tcW w:w="1276" w:type="dxa"/>
          </w:tcPr>
          <w:p w14:paraId="330A7550"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35,820%</w:t>
            </w:r>
          </w:p>
        </w:tc>
        <w:tc>
          <w:tcPr>
            <w:tcW w:w="1275" w:type="dxa"/>
          </w:tcPr>
          <w:p w14:paraId="33435CFF"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0,000%</w:t>
            </w:r>
          </w:p>
        </w:tc>
        <w:tc>
          <w:tcPr>
            <w:tcW w:w="1276" w:type="dxa"/>
          </w:tcPr>
          <w:p w14:paraId="3A5381CC"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-25,271%</w:t>
            </w:r>
          </w:p>
        </w:tc>
        <w:tc>
          <w:tcPr>
            <w:tcW w:w="1275" w:type="dxa"/>
          </w:tcPr>
          <w:p w14:paraId="30A73CD0"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5,260%</w:t>
            </w:r>
          </w:p>
        </w:tc>
        <w:tc>
          <w:tcPr>
            <w:tcW w:w="1276" w:type="dxa"/>
          </w:tcPr>
          <w:p w14:paraId="1AD4B8E7"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
                <w:bCs/>
                <w:iCs/>
                <w:sz w:val="22"/>
                <w:szCs w:val="22"/>
              </w:rPr>
            </w:pPr>
            <w:r w:rsidRPr="0097338D">
              <w:rPr>
                <w:rFonts w:ascii="Arial" w:hAnsi="Arial" w:cs="Arial"/>
                <w:b/>
                <w:bCs/>
                <w:iCs/>
                <w:sz w:val="22"/>
                <w:szCs w:val="22"/>
              </w:rPr>
              <w:t>15,809%</w:t>
            </w:r>
          </w:p>
        </w:tc>
      </w:tr>
      <w:tr w:rsidR="00A20DF9" w:rsidRPr="0097338D" w14:paraId="48720CD1" w14:textId="77777777" w:rsidTr="00900AD4">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275" w:type="dxa"/>
            <w:shd w:val="clear" w:color="auto" w:fill="808080" w:themeFill="background1" w:themeFillShade="80"/>
          </w:tcPr>
          <w:p w14:paraId="686DBF7F"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2</w:t>
            </w:r>
            <w:r w:rsidRPr="0097338D">
              <w:rPr>
                <w:rFonts w:ascii="Arial" w:hAnsi="Arial" w:cs="Arial"/>
                <w:b w:val="0"/>
                <w:bCs w:val="0"/>
                <w:color w:val="FFFFFF" w:themeColor="background1"/>
                <w:sz w:val="22"/>
                <w:szCs w:val="22"/>
              </w:rPr>
              <w:t>8.406</w:t>
            </w:r>
          </w:p>
        </w:tc>
        <w:tc>
          <w:tcPr>
            <w:tcW w:w="1275" w:type="dxa"/>
            <w:shd w:val="clear" w:color="auto" w:fill="808080" w:themeFill="background1" w:themeFillShade="80"/>
          </w:tcPr>
          <w:p w14:paraId="55585875"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38.441</w:t>
            </w:r>
          </w:p>
        </w:tc>
        <w:tc>
          <w:tcPr>
            <w:tcW w:w="1276" w:type="dxa"/>
          </w:tcPr>
          <w:p w14:paraId="39465ADE"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35,820%</w:t>
            </w:r>
          </w:p>
        </w:tc>
        <w:tc>
          <w:tcPr>
            <w:tcW w:w="1275" w:type="dxa"/>
          </w:tcPr>
          <w:p w14:paraId="5B18D2BC"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6,337%</w:t>
            </w:r>
          </w:p>
        </w:tc>
        <w:tc>
          <w:tcPr>
            <w:tcW w:w="1276" w:type="dxa"/>
          </w:tcPr>
          <w:p w14:paraId="62595933"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-2,584%</w:t>
            </w:r>
          </w:p>
        </w:tc>
        <w:tc>
          <w:tcPr>
            <w:tcW w:w="1275" w:type="dxa"/>
          </w:tcPr>
          <w:p w14:paraId="18BFF0BE"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5,260%</w:t>
            </w:r>
          </w:p>
        </w:tc>
        <w:tc>
          <w:tcPr>
            <w:tcW w:w="1276" w:type="dxa"/>
          </w:tcPr>
          <w:p w14:paraId="16835C21"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
                <w:bCs/>
                <w:iCs/>
                <w:sz w:val="22"/>
                <w:szCs w:val="22"/>
              </w:rPr>
            </w:pPr>
            <w:r w:rsidRPr="0097338D">
              <w:rPr>
                <w:rFonts w:ascii="Arial" w:hAnsi="Arial" w:cs="Arial"/>
                <w:b/>
                <w:bCs/>
                <w:iCs/>
                <w:sz w:val="22"/>
                <w:szCs w:val="22"/>
              </w:rPr>
              <w:t>44,833%</w:t>
            </w:r>
          </w:p>
        </w:tc>
      </w:tr>
      <w:tr w:rsidR="00A20DF9" w:rsidRPr="0097338D" w14:paraId="516380CC" w14:textId="77777777" w:rsidTr="00900AD4">
        <w:tc>
          <w:tcPr>
            <w:cnfStyle w:val="001000000000" w:firstRow="0" w:lastRow="0" w:firstColumn="1" w:lastColumn="0" w:oddVBand="0" w:evenVBand="0" w:oddHBand="0" w:evenHBand="0" w:firstRowFirstColumn="0" w:firstRowLastColumn="0" w:lastRowFirstColumn="0" w:lastRowLastColumn="0"/>
            <w:tcW w:w="1275" w:type="dxa"/>
            <w:shd w:val="clear" w:color="auto" w:fill="808080" w:themeFill="background1" w:themeFillShade="80"/>
          </w:tcPr>
          <w:p w14:paraId="5A629BEB"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b w:val="0"/>
                <w:bCs w:val="0"/>
                <w:color w:val="FFFFFF" w:themeColor="background1"/>
                <w:sz w:val="22"/>
                <w:szCs w:val="22"/>
              </w:rPr>
              <w:t>38.441</w:t>
            </w:r>
          </w:p>
        </w:tc>
        <w:tc>
          <w:tcPr>
            <w:tcW w:w="1275" w:type="dxa"/>
            <w:shd w:val="clear" w:color="auto" w:fill="808080" w:themeFill="background1" w:themeFillShade="80"/>
          </w:tcPr>
          <w:p w14:paraId="14047917"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43.071</w:t>
            </w:r>
          </w:p>
        </w:tc>
        <w:tc>
          <w:tcPr>
            <w:tcW w:w="1276" w:type="dxa"/>
          </w:tcPr>
          <w:p w14:paraId="0AA61E5B"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37,480%</w:t>
            </w:r>
          </w:p>
        </w:tc>
        <w:tc>
          <w:tcPr>
            <w:tcW w:w="1275" w:type="dxa"/>
          </w:tcPr>
          <w:p w14:paraId="21E748F9"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6,337%</w:t>
            </w:r>
          </w:p>
        </w:tc>
        <w:tc>
          <w:tcPr>
            <w:tcW w:w="1276" w:type="dxa"/>
          </w:tcPr>
          <w:p w14:paraId="40E74FF9"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-2,584%</w:t>
            </w:r>
          </w:p>
        </w:tc>
        <w:tc>
          <w:tcPr>
            <w:tcW w:w="1275" w:type="dxa"/>
          </w:tcPr>
          <w:p w14:paraId="04F3E34B"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5,260%</w:t>
            </w:r>
          </w:p>
        </w:tc>
        <w:tc>
          <w:tcPr>
            <w:tcW w:w="1276" w:type="dxa"/>
          </w:tcPr>
          <w:p w14:paraId="1B6373F0"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
                <w:bCs/>
                <w:iCs/>
                <w:sz w:val="22"/>
                <w:szCs w:val="22"/>
              </w:rPr>
            </w:pPr>
            <w:r w:rsidRPr="0097338D">
              <w:rPr>
                <w:rFonts w:ascii="Arial" w:hAnsi="Arial" w:cs="Arial"/>
                <w:b/>
                <w:bCs/>
                <w:iCs/>
                <w:sz w:val="22"/>
                <w:szCs w:val="22"/>
              </w:rPr>
              <w:t>46,493%</w:t>
            </w:r>
          </w:p>
        </w:tc>
      </w:tr>
      <w:tr w:rsidR="00A20DF9" w:rsidRPr="0097338D" w14:paraId="214A4669" w14:textId="77777777" w:rsidTr="00900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shd w:val="clear" w:color="auto" w:fill="808080" w:themeFill="background1" w:themeFillShade="80"/>
          </w:tcPr>
          <w:p w14:paraId="7150FE4E"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b w:val="0"/>
                <w:bCs w:val="0"/>
                <w:color w:val="FFFFFF" w:themeColor="background1"/>
                <w:sz w:val="22"/>
                <w:szCs w:val="22"/>
              </w:rPr>
              <w:t>43.071</w:t>
            </w:r>
          </w:p>
        </w:tc>
        <w:tc>
          <w:tcPr>
            <w:tcW w:w="1275" w:type="dxa"/>
            <w:shd w:val="clear" w:color="auto" w:fill="808080" w:themeFill="background1" w:themeFillShade="80"/>
          </w:tcPr>
          <w:p w14:paraId="4B38DB44"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75.860</w:t>
            </w:r>
          </w:p>
        </w:tc>
        <w:tc>
          <w:tcPr>
            <w:tcW w:w="1276" w:type="dxa"/>
          </w:tcPr>
          <w:p w14:paraId="5F408CF4"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37,480%</w:t>
            </w:r>
          </w:p>
        </w:tc>
        <w:tc>
          <w:tcPr>
            <w:tcW w:w="1275" w:type="dxa"/>
          </w:tcPr>
          <w:p w14:paraId="4A6C50E5"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6,337%</w:t>
            </w:r>
          </w:p>
        </w:tc>
        <w:tc>
          <w:tcPr>
            <w:tcW w:w="1276" w:type="dxa"/>
          </w:tcPr>
          <w:p w14:paraId="38683C61"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6,510%</w:t>
            </w:r>
          </w:p>
        </w:tc>
        <w:tc>
          <w:tcPr>
            <w:tcW w:w="1275" w:type="dxa"/>
          </w:tcPr>
          <w:p w14:paraId="11E13141"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5,260%</w:t>
            </w:r>
          </w:p>
        </w:tc>
        <w:tc>
          <w:tcPr>
            <w:tcW w:w="1276" w:type="dxa"/>
          </w:tcPr>
          <w:p w14:paraId="072B4031"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
                <w:bCs/>
                <w:iCs/>
                <w:sz w:val="22"/>
                <w:szCs w:val="22"/>
              </w:rPr>
            </w:pPr>
            <w:r w:rsidRPr="0097338D">
              <w:rPr>
                <w:rFonts w:ascii="Arial" w:hAnsi="Arial" w:cs="Arial"/>
                <w:b/>
                <w:bCs/>
                <w:iCs/>
                <w:sz w:val="22"/>
                <w:szCs w:val="22"/>
              </w:rPr>
              <w:t>55,587%</w:t>
            </w:r>
          </w:p>
        </w:tc>
      </w:tr>
      <w:tr w:rsidR="00A20DF9" w:rsidRPr="0097338D" w14:paraId="2260AB38" w14:textId="77777777" w:rsidTr="00900AD4">
        <w:tc>
          <w:tcPr>
            <w:cnfStyle w:val="001000000000" w:firstRow="0" w:lastRow="0" w:firstColumn="1" w:lastColumn="0" w:oddVBand="0" w:evenVBand="0" w:oddHBand="0" w:evenHBand="0" w:firstRowFirstColumn="0" w:firstRowLastColumn="0" w:lastRowFirstColumn="0" w:lastRowLastColumn="0"/>
            <w:tcW w:w="1275" w:type="dxa"/>
            <w:shd w:val="clear" w:color="auto" w:fill="808080" w:themeFill="background1" w:themeFillShade="80"/>
          </w:tcPr>
          <w:p w14:paraId="397BDCDF"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b w:val="0"/>
                <w:bCs w:val="0"/>
                <w:color w:val="FFFFFF" w:themeColor="background1"/>
                <w:sz w:val="22"/>
                <w:szCs w:val="22"/>
              </w:rPr>
              <w:t>75.860</w:t>
            </w:r>
          </w:p>
        </w:tc>
        <w:tc>
          <w:tcPr>
            <w:tcW w:w="1275" w:type="dxa"/>
            <w:shd w:val="clear" w:color="auto" w:fill="808080" w:themeFill="background1" w:themeFillShade="80"/>
          </w:tcPr>
          <w:p w14:paraId="5FD52FBA"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76.817</w:t>
            </w:r>
          </w:p>
        </w:tc>
        <w:tc>
          <w:tcPr>
            <w:tcW w:w="1276" w:type="dxa"/>
          </w:tcPr>
          <w:p w14:paraId="1094CECF"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37,480%</w:t>
            </w:r>
          </w:p>
        </w:tc>
        <w:tc>
          <w:tcPr>
            <w:tcW w:w="1275" w:type="dxa"/>
          </w:tcPr>
          <w:p w14:paraId="37CEA5AE"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6,337%</w:t>
            </w:r>
          </w:p>
        </w:tc>
        <w:tc>
          <w:tcPr>
            <w:tcW w:w="1276" w:type="dxa"/>
          </w:tcPr>
          <w:p w14:paraId="0DB6CCD2"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6,510%</w:t>
            </w:r>
          </w:p>
        </w:tc>
        <w:tc>
          <w:tcPr>
            <w:tcW w:w="1275" w:type="dxa"/>
          </w:tcPr>
          <w:p w14:paraId="38DC4824"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0,000%</w:t>
            </w:r>
          </w:p>
        </w:tc>
        <w:tc>
          <w:tcPr>
            <w:tcW w:w="1276" w:type="dxa"/>
          </w:tcPr>
          <w:p w14:paraId="75C85B3A"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
                <w:bCs/>
                <w:iCs/>
                <w:sz w:val="22"/>
                <w:szCs w:val="22"/>
              </w:rPr>
            </w:pPr>
            <w:r w:rsidRPr="0097338D">
              <w:rPr>
                <w:rFonts w:ascii="Arial" w:hAnsi="Arial" w:cs="Arial"/>
                <w:b/>
                <w:bCs/>
                <w:iCs/>
                <w:sz w:val="22"/>
                <w:szCs w:val="22"/>
              </w:rPr>
              <w:t>50,327%</w:t>
            </w:r>
          </w:p>
        </w:tc>
      </w:tr>
      <w:tr w:rsidR="00A20DF9" w:rsidRPr="0097338D" w14:paraId="6A6862EA" w14:textId="77777777" w:rsidTr="00900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shd w:val="clear" w:color="auto" w:fill="808080" w:themeFill="background1" w:themeFillShade="80"/>
          </w:tcPr>
          <w:p w14:paraId="71955397"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b w:val="0"/>
                <w:bCs w:val="0"/>
                <w:color w:val="FFFFFF" w:themeColor="background1"/>
                <w:sz w:val="22"/>
                <w:szCs w:val="22"/>
              </w:rPr>
              <w:t>76.817</w:t>
            </w:r>
          </w:p>
        </w:tc>
        <w:tc>
          <w:tcPr>
            <w:tcW w:w="1275" w:type="dxa"/>
            <w:shd w:val="clear" w:color="auto" w:fill="808080" w:themeFill="background1" w:themeFillShade="80"/>
          </w:tcPr>
          <w:p w14:paraId="08B4B64E"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129.077</w:t>
            </w:r>
          </w:p>
        </w:tc>
        <w:tc>
          <w:tcPr>
            <w:tcW w:w="1276" w:type="dxa"/>
          </w:tcPr>
          <w:p w14:paraId="17C277ED"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49,500%</w:t>
            </w:r>
          </w:p>
        </w:tc>
        <w:tc>
          <w:tcPr>
            <w:tcW w:w="1275" w:type="dxa"/>
          </w:tcPr>
          <w:p w14:paraId="1A7F6B4F"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0,000%</w:t>
            </w:r>
          </w:p>
        </w:tc>
        <w:tc>
          <w:tcPr>
            <w:tcW w:w="1276" w:type="dxa"/>
          </w:tcPr>
          <w:p w14:paraId="25446F9F"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6,510%</w:t>
            </w:r>
          </w:p>
        </w:tc>
        <w:tc>
          <w:tcPr>
            <w:tcW w:w="1275" w:type="dxa"/>
          </w:tcPr>
          <w:p w14:paraId="4D7AE9E6"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0,000%</w:t>
            </w:r>
          </w:p>
        </w:tc>
        <w:tc>
          <w:tcPr>
            <w:tcW w:w="1276" w:type="dxa"/>
          </w:tcPr>
          <w:p w14:paraId="7F6BECCD" w14:textId="77777777" w:rsidR="00A20DF9" w:rsidRPr="0097338D" w:rsidRDefault="00A20DF9" w:rsidP="00900AD4">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
                <w:bCs/>
                <w:iCs/>
                <w:sz w:val="22"/>
                <w:szCs w:val="22"/>
              </w:rPr>
            </w:pPr>
            <w:r w:rsidRPr="0097338D">
              <w:rPr>
                <w:rFonts w:ascii="Arial" w:hAnsi="Arial" w:cs="Arial"/>
                <w:b/>
                <w:bCs/>
                <w:iCs/>
                <w:sz w:val="22"/>
                <w:szCs w:val="22"/>
              </w:rPr>
              <w:t>56,010%</w:t>
            </w:r>
          </w:p>
        </w:tc>
      </w:tr>
      <w:tr w:rsidR="00A20DF9" w:rsidRPr="0097338D" w14:paraId="0771B8FD" w14:textId="77777777" w:rsidTr="00900AD4">
        <w:tc>
          <w:tcPr>
            <w:cnfStyle w:val="001000000000" w:firstRow="0" w:lastRow="0" w:firstColumn="1" w:lastColumn="0" w:oddVBand="0" w:evenVBand="0" w:oddHBand="0" w:evenHBand="0" w:firstRowFirstColumn="0" w:firstRowLastColumn="0" w:lastRowFirstColumn="0" w:lastRowLastColumn="0"/>
            <w:tcW w:w="1275" w:type="dxa"/>
            <w:shd w:val="clear" w:color="auto" w:fill="808080" w:themeFill="background1" w:themeFillShade="80"/>
          </w:tcPr>
          <w:p w14:paraId="41A7A152" w14:textId="77777777" w:rsidR="00A20DF9" w:rsidRPr="0097338D" w:rsidRDefault="00A20DF9" w:rsidP="00900AD4">
            <w:pPr>
              <w:pStyle w:val="Geenafstand"/>
              <w:rPr>
                <w:rFonts w:ascii="Arial" w:hAnsi="Arial" w:cs="Arial"/>
                <w:color w:val="FFFFFF" w:themeColor="background1"/>
                <w:sz w:val="22"/>
                <w:szCs w:val="22"/>
              </w:rPr>
            </w:pPr>
            <w:r w:rsidRPr="0097338D">
              <w:rPr>
                <w:rFonts w:ascii="Arial" w:hAnsi="Arial" w:cs="Arial"/>
                <w:color w:val="FFFFFF" w:themeColor="background1"/>
                <w:sz w:val="22"/>
                <w:szCs w:val="22"/>
              </w:rPr>
              <w:t>12</w:t>
            </w:r>
            <w:r w:rsidRPr="0097338D">
              <w:rPr>
                <w:rFonts w:ascii="Arial" w:hAnsi="Arial" w:cs="Arial"/>
                <w:b w:val="0"/>
                <w:bCs w:val="0"/>
                <w:color w:val="FFFFFF" w:themeColor="background1"/>
                <w:sz w:val="22"/>
                <w:szCs w:val="22"/>
              </w:rPr>
              <w:t>9.077</w:t>
            </w:r>
          </w:p>
        </w:tc>
        <w:tc>
          <w:tcPr>
            <w:tcW w:w="1275" w:type="dxa"/>
            <w:shd w:val="clear" w:color="auto" w:fill="808080" w:themeFill="background1" w:themeFillShade="80"/>
          </w:tcPr>
          <w:p w14:paraId="56E4995C"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7338D">
              <w:rPr>
                <w:rFonts w:ascii="Arial" w:hAnsi="Arial" w:cs="Arial"/>
                <w:color w:val="FFFFFF" w:themeColor="background1"/>
                <w:sz w:val="22"/>
                <w:szCs w:val="22"/>
              </w:rPr>
              <w:t>-</w:t>
            </w:r>
          </w:p>
        </w:tc>
        <w:tc>
          <w:tcPr>
            <w:tcW w:w="1276" w:type="dxa"/>
          </w:tcPr>
          <w:p w14:paraId="1ADC3EB5"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49,500%</w:t>
            </w:r>
          </w:p>
        </w:tc>
        <w:tc>
          <w:tcPr>
            <w:tcW w:w="1275" w:type="dxa"/>
          </w:tcPr>
          <w:p w14:paraId="0E5E68E5"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0,000%</w:t>
            </w:r>
          </w:p>
        </w:tc>
        <w:tc>
          <w:tcPr>
            <w:tcW w:w="1276" w:type="dxa"/>
          </w:tcPr>
          <w:p w14:paraId="56EAC313"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0,000%</w:t>
            </w:r>
          </w:p>
        </w:tc>
        <w:tc>
          <w:tcPr>
            <w:tcW w:w="1275" w:type="dxa"/>
          </w:tcPr>
          <w:p w14:paraId="074A9E5A"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97338D">
              <w:rPr>
                <w:rFonts w:ascii="Arial" w:hAnsi="Arial" w:cs="Arial"/>
                <w:color w:val="auto"/>
                <w:sz w:val="22"/>
                <w:szCs w:val="22"/>
              </w:rPr>
              <w:t>0,000%</w:t>
            </w:r>
          </w:p>
        </w:tc>
        <w:tc>
          <w:tcPr>
            <w:tcW w:w="1276" w:type="dxa"/>
          </w:tcPr>
          <w:p w14:paraId="54A98C21" w14:textId="77777777" w:rsidR="00A20DF9" w:rsidRPr="0097338D" w:rsidRDefault="00A20DF9" w:rsidP="00900AD4">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
                <w:bCs/>
                <w:iCs/>
                <w:sz w:val="22"/>
                <w:szCs w:val="22"/>
              </w:rPr>
            </w:pPr>
            <w:r w:rsidRPr="0097338D">
              <w:rPr>
                <w:rFonts w:ascii="Arial" w:hAnsi="Arial" w:cs="Arial"/>
                <w:b/>
                <w:bCs/>
                <w:iCs/>
                <w:sz w:val="22"/>
                <w:szCs w:val="22"/>
              </w:rPr>
              <w:t>49,500%</w:t>
            </w:r>
          </w:p>
        </w:tc>
      </w:tr>
    </w:tbl>
    <w:p w14:paraId="5BB440ED" w14:textId="77777777" w:rsidR="00A20DF9" w:rsidRPr="0097338D" w:rsidRDefault="00A20DF9" w:rsidP="0097338D">
      <w:pPr>
        <w:rPr>
          <w:rFonts w:ascii="Arial" w:hAnsi="Arial" w:cs="Arial"/>
          <w:color w:val="auto"/>
          <w:sz w:val="22"/>
        </w:rPr>
      </w:pPr>
      <w:r w:rsidRPr="0097338D">
        <w:rPr>
          <w:rFonts w:ascii="Arial" w:hAnsi="Arial" w:cs="Arial"/>
          <w:color w:val="auto"/>
          <w:sz w:val="22"/>
        </w:rPr>
        <w:t>Let wel, deze bedragen en percentages zijn onder voorbehoud. Een aantal variabelen wordt pas in de loop van november of december 2024 bekend gemaakt.</w:t>
      </w:r>
    </w:p>
    <w:p w14:paraId="7E4B26DD" w14:textId="665A7705" w:rsidR="00A20DF9" w:rsidRPr="0097338D" w:rsidRDefault="00A20DF9" w:rsidP="0097338D">
      <w:pPr>
        <w:rPr>
          <w:rFonts w:ascii="Arial" w:hAnsi="Arial" w:cs="Arial"/>
          <w:color w:val="auto"/>
          <w:sz w:val="22"/>
        </w:rPr>
      </w:pPr>
      <w:r w:rsidRPr="0097338D">
        <w:rPr>
          <w:rFonts w:ascii="Arial" w:hAnsi="Arial" w:cs="Arial"/>
          <w:color w:val="auto"/>
          <w:sz w:val="22"/>
        </w:rPr>
        <w:t xml:space="preserve">Uit de tabel blijkt dat als een </w:t>
      </w:r>
      <w:proofErr w:type="spellStart"/>
      <w:r w:rsidRPr="0097338D">
        <w:rPr>
          <w:rFonts w:ascii="Arial" w:hAnsi="Arial" w:cs="Arial"/>
          <w:color w:val="auto"/>
          <w:sz w:val="22"/>
        </w:rPr>
        <w:t>dga</w:t>
      </w:r>
      <w:proofErr w:type="spellEnd"/>
      <w:r w:rsidRPr="0097338D">
        <w:rPr>
          <w:rFonts w:ascii="Arial" w:hAnsi="Arial" w:cs="Arial"/>
          <w:color w:val="auto"/>
          <w:sz w:val="22"/>
        </w:rPr>
        <w:t xml:space="preserve"> zijn loon volgend jaar verhoogd van € 56.000 naar stel € 57.000, hij over die € 1.000 extra bruto loon 55,587% belasting betaalt. Terwijl de bv wellicht effectief maar een voordeel heeft van 38,845%, de combinatie van bespaarde vennootschapsbelasting en box 2-heffing.</w:t>
      </w:r>
    </w:p>
    <w:p w14:paraId="241EE705" w14:textId="77777777" w:rsidR="00A20DF9" w:rsidRPr="0097338D" w:rsidRDefault="00A20DF9" w:rsidP="00A20DF9">
      <w:pPr>
        <w:jc w:val="both"/>
        <w:rPr>
          <w:rFonts w:ascii="Arial" w:hAnsi="Arial" w:cs="Arial"/>
          <w:color w:val="000000" w:themeColor="text1"/>
          <w:szCs w:val="32"/>
        </w:rPr>
      </w:pPr>
      <w:r w:rsidRPr="0097338D">
        <w:rPr>
          <w:rFonts w:ascii="Arial" w:hAnsi="Arial" w:cs="Arial"/>
          <w:szCs w:val="32"/>
        </w:rPr>
        <w:lastRenderedPageBreak/>
        <w:t>Wet aanpassing fiscale bedrijfsopvolgingsfaciliteiten 2025</w:t>
      </w:r>
    </w:p>
    <w:p w14:paraId="509172AC" w14:textId="77777777" w:rsidR="00A20DF9" w:rsidRPr="0097338D" w:rsidRDefault="00A20DF9" w:rsidP="0097338D">
      <w:pPr>
        <w:rPr>
          <w:rFonts w:ascii="Arial" w:hAnsi="Arial" w:cs="Arial"/>
          <w:color w:val="auto"/>
          <w:sz w:val="22"/>
        </w:rPr>
      </w:pPr>
      <w:r w:rsidRPr="0097338D">
        <w:rPr>
          <w:rFonts w:ascii="Arial" w:hAnsi="Arial" w:cs="Arial"/>
          <w:color w:val="auto"/>
          <w:sz w:val="22"/>
        </w:rPr>
        <w:t xml:space="preserve">U kunt als </w:t>
      </w:r>
      <w:proofErr w:type="spellStart"/>
      <w:r w:rsidRPr="0097338D">
        <w:rPr>
          <w:rFonts w:ascii="Arial" w:hAnsi="Arial" w:cs="Arial"/>
          <w:color w:val="auto"/>
          <w:sz w:val="22"/>
        </w:rPr>
        <w:t>dga</w:t>
      </w:r>
      <w:proofErr w:type="spellEnd"/>
      <w:r w:rsidRPr="0097338D">
        <w:rPr>
          <w:rFonts w:ascii="Arial" w:hAnsi="Arial" w:cs="Arial"/>
          <w:color w:val="auto"/>
          <w:sz w:val="22"/>
        </w:rPr>
        <w:t xml:space="preserve"> onder voorwaarden uw onderneming via een aandelentransactie fiscaal erg gunstig overdragen aan iemand anders, bijvoorbeeld uw kind. Als dan sprake is van een schenking, is niet of nauwelijks schenkbelasting verschuldigd op grond van de zogenoemde </w:t>
      </w:r>
      <w:proofErr w:type="spellStart"/>
      <w:r w:rsidRPr="0097338D">
        <w:rPr>
          <w:rFonts w:ascii="Arial" w:hAnsi="Arial" w:cs="Arial"/>
          <w:color w:val="auto"/>
          <w:sz w:val="22"/>
        </w:rPr>
        <w:t>BedrijfsOpvolgingsRegeling</w:t>
      </w:r>
      <w:proofErr w:type="spellEnd"/>
      <w:r w:rsidRPr="0097338D">
        <w:rPr>
          <w:rFonts w:ascii="Arial" w:hAnsi="Arial" w:cs="Arial"/>
          <w:color w:val="auto"/>
          <w:sz w:val="22"/>
        </w:rPr>
        <w:t xml:space="preserve"> (BOR).</w:t>
      </w:r>
    </w:p>
    <w:p w14:paraId="4527530B" w14:textId="76E911BD"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Daarnaast kan het zijn dat de box 2-claim die in beginsel ontstaat omdat u uw aandelen in uw eigen bv vervreemdt, kunt doorschuiven naar de bedrijfsopvolger, via de zogenoemde door-schuifregeling (DSR).</w:t>
      </w:r>
    </w:p>
    <w:p w14:paraId="42040ED3" w14:textId="20728BE1"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De BOR en de DSR zijn al jarenlang voorwerp van discussie, dus ook van wijziging. Elk jaar verandert er wel weer iets. Ook per 1 januari aanstaande gaat weer een aantal zaken veranderen. Die veranderingen zijn soms erg gunstig, maar soms ook nadelig ten opzichte van de huidige regeling in 2024. Het is dus belangrijk om goed na te denken over een bedrijfsopvolging, en dan vooral over de planning daarvan. Dat speelt overigens alleen als u de bv tegen een zacht prijsje overdraagt aan met name uw kinderen, of in het geheel wil schenken. Het speelt niet zozeer als u uw onderneming of de aandelen in uw eigen bv onder zakelijke voorwaarden wilt verkopen.</w:t>
      </w:r>
    </w:p>
    <w:p w14:paraId="5C14ACFE" w14:textId="7777777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 xml:space="preserve">Als dit aan de orde is, kunt het beste eerst een afspraak met uw NOAB-adviseur maken. De wijzigingen zijn namelijk best wel ingewikkeld. Maar hoe luidt een opsomming van de meest belangrijke aangekondigde wijzigingen voor </w:t>
      </w:r>
      <w:proofErr w:type="spellStart"/>
      <w:r w:rsidRPr="0097338D">
        <w:rPr>
          <w:rFonts w:ascii="Arial" w:hAnsi="Arial" w:cs="Arial"/>
          <w:color w:val="000000" w:themeColor="text1"/>
          <w:sz w:val="22"/>
        </w:rPr>
        <w:t>dga’s</w:t>
      </w:r>
      <w:proofErr w:type="spellEnd"/>
      <w:r w:rsidRPr="0097338D">
        <w:rPr>
          <w:rFonts w:ascii="Arial" w:hAnsi="Arial" w:cs="Arial"/>
          <w:color w:val="000000" w:themeColor="text1"/>
          <w:sz w:val="22"/>
        </w:rPr>
        <w:t xml:space="preserve"> met een eigen bv:</w:t>
      </w:r>
    </w:p>
    <w:p w14:paraId="29EEC5BB" w14:textId="77777777" w:rsidR="00A20DF9" w:rsidRPr="0097338D" w:rsidRDefault="00A20DF9" w:rsidP="00A20DF9">
      <w:pPr>
        <w:pStyle w:val="Lijstalinea"/>
        <w:numPr>
          <w:ilvl w:val="0"/>
          <w:numId w:val="2"/>
        </w:numPr>
        <w:jc w:val="both"/>
        <w:rPr>
          <w:rFonts w:cs="Arial"/>
          <w:color w:val="000000" w:themeColor="text1"/>
          <w:sz w:val="22"/>
        </w:rPr>
      </w:pPr>
      <w:r w:rsidRPr="0097338D">
        <w:rPr>
          <w:rFonts w:cs="Arial"/>
          <w:color w:val="000000" w:themeColor="text1"/>
          <w:sz w:val="22"/>
        </w:rPr>
        <w:t>de doelmatigheidsmarge wordt vanaf 1 januari 2025 afgeschaft;</w:t>
      </w:r>
    </w:p>
    <w:p w14:paraId="013921DD" w14:textId="77777777" w:rsidR="00A20DF9" w:rsidRPr="0097338D" w:rsidRDefault="00A20DF9" w:rsidP="00A20DF9">
      <w:pPr>
        <w:pStyle w:val="Lijstalinea"/>
        <w:numPr>
          <w:ilvl w:val="0"/>
          <w:numId w:val="2"/>
        </w:numPr>
        <w:jc w:val="both"/>
        <w:rPr>
          <w:rFonts w:cs="Arial"/>
          <w:color w:val="000000" w:themeColor="text1"/>
          <w:sz w:val="22"/>
        </w:rPr>
      </w:pPr>
      <w:r w:rsidRPr="0097338D">
        <w:rPr>
          <w:rFonts w:cs="Arial"/>
          <w:color w:val="000000" w:themeColor="text1"/>
          <w:sz w:val="22"/>
        </w:rPr>
        <w:t>voor bedrijfsmiddelen in de bv die gemengd zakelijk en privé worden gebruikt, gelden de BOR en de DSR vanaf 2025 alleen voor het zakelijke deel;</w:t>
      </w:r>
    </w:p>
    <w:p w14:paraId="7B7E221E" w14:textId="77777777" w:rsidR="00A20DF9" w:rsidRPr="0097338D" w:rsidRDefault="00A20DF9" w:rsidP="00A20DF9">
      <w:pPr>
        <w:pStyle w:val="Lijstalinea"/>
        <w:numPr>
          <w:ilvl w:val="0"/>
          <w:numId w:val="2"/>
        </w:numPr>
        <w:jc w:val="both"/>
        <w:rPr>
          <w:rFonts w:cs="Arial"/>
          <w:color w:val="000000" w:themeColor="text1"/>
          <w:sz w:val="22"/>
        </w:rPr>
      </w:pPr>
      <w:r w:rsidRPr="0097338D">
        <w:rPr>
          <w:rFonts w:cs="Arial"/>
          <w:color w:val="000000" w:themeColor="text1"/>
          <w:sz w:val="22"/>
        </w:rPr>
        <w:t>vanaf 1 januari 2025 dient degene aan wie u aandelen geheel of gedeeltelijk schenkt, ten minste 21 jaar te zijn. De dienstbetrekking eis van drie jaar voor de DSR komt evenwel te vervallen;</w:t>
      </w:r>
    </w:p>
    <w:p w14:paraId="2A45570F" w14:textId="5B2C291C" w:rsidR="00A20DF9" w:rsidRPr="0097338D" w:rsidRDefault="00A20DF9" w:rsidP="00A20DF9">
      <w:pPr>
        <w:pStyle w:val="Lijstalinea"/>
        <w:numPr>
          <w:ilvl w:val="0"/>
          <w:numId w:val="2"/>
        </w:numPr>
        <w:jc w:val="both"/>
        <w:rPr>
          <w:rFonts w:cs="Arial"/>
          <w:color w:val="000000" w:themeColor="text1"/>
          <w:sz w:val="22"/>
        </w:rPr>
      </w:pPr>
      <w:r w:rsidRPr="0097338D">
        <w:rPr>
          <w:rFonts w:cs="Arial"/>
          <w:color w:val="000000" w:themeColor="text1"/>
          <w:sz w:val="22"/>
        </w:rPr>
        <w:t xml:space="preserve">het bedrag dat voor de volle 100% aan ondernemingsvermogen is vrijgesteld wordt verhoogd tot € 1,5 </w:t>
      </w:r>
      <w:proofErr w:type="spellStart"/>
      <w:r w:rsidRPr="0097338D">
        <w:rPr>
          <w:rFonts w:cs="Arial"/>
          <w:color w:val="000000" w:themeColor="text1"/>
          <w:sz w:val="22"/>
        </w:rPr>
        <w:t>mln</w:t>
      </w:r>
      <w:proofErr w:type="spellEnd"/>
      <w:r w:rsidRPr="0097338D">
        <w:rPr>
          <w:rFonts w:cs="Arial"/>
          <w:color w:val="000000" w:themeColor="text1"/>
          <w:sz w:val="22"/>
        </w:rPr>
        <w:t xml:space="preserve">, het meerdere voor 75%. Dit jaar is dat nog ongeveer € 1,3 </w:t>
      </w:r>
      <w:proofErr w:type="spellStart"/>
      <w:r w:rsidRPr="0097338D">
        <w:rPr>
          <w:rFonts w:cs="Arial"/>
          <w:color w:val="000000" w:themeColor="text1"/>
          <w:sz w:val="22"/>
        </w:rPr>
        <w:t>mln</w:t>
      </w:r>
      <w:proofErr w:type="spellEnd"/>
      <w:r w:rsidRPr="0097338D">
        <w:rPr>
          <w:rFonts w:cs="Arial"/>
          <w:color w:val="000000" w:themeColor="text1"/>
          <w:sz w:val="22"/>
        </w:rPr>
        <w:t xml:space="preserve"> volledig en het meerdere voor 83%;</w:t>
      </w:r>
    </w:p>
    <w:p w14:paraId="160382EC" w14:textId="77777777" w:rsidR="00A20DF9" w:rsidRPr="0097338D" w:rsidRDefault="00A20DF9" w:rsidP="00A20DF9">
      <w:pPr>
        <w:pStyle w:val="Lijstalinea"/>
        <w:numPr>
          <w:ilvl w:val="0"/>
          <w:numId w:val="2"/>
        </w:numPr>
        <w:jc w:val="both"/>
        <w:rPr>
          <w:rFonts w:cs="Arial"/>
          <w:color w:val="000000" w:themeColor="text1"/>
          <w:sz w:val="22"/>
        </w:rPr>
      </w:pPr>
      <w:r w:rsidRPr="0097338D">
        <w:rPr>
          <w:rFonts w:cs="Arial"/>
          <w:color w:val="000000" w:themeColor="text1"/>
          <w:sz w:val="22"/>
        </w:rPr>
        <w:t>de voortzettingstermijn, dat is de termijn dat de verkrijger de aandelen minimaal moet houden en de bv de onderneming minimaal moet voortzetten, wordt volgend jaar verlaagd van 5 naar 3 jaar. Dat geldt echter alleen voor schenkingen en verervingen van ondernemingen vanaf 1 januari 2025;</w:t>
      </w:r>
    </w:p>
    <w:p w14:paraId="60F87B69" w14:textId="77777777" w:rsidR="00A20DF9" w:rsidRPr="0097338D" w:rsidRDefault="00A20DF9" w:rsidP="00A20DF9">
      <w:pPr>
        <w:pStyle w:val="Lijstalinea"/>
        <w:numPr>
          <w:ilvl w:val="0"/>
          <w:numId w:val="2"/>
        </w:numPr>
        <w:jc w:val="both"/>
        <w:rPr>
          <w:rFonts w:cs="Arial"/>
          <w:color w:val="000000" w:themeColor="text1"/>
          <w:sz w:val="22"/>
        </w:rPr>
      </w:pPr>
      <w:r w:rsidRPr="0097338D">
        <w:rPr>
          <w:rFonts w:cs="Arial"/>
          <w:color w:val="000000" w:themeColor="text1"/>
          <w:sz w:val="22"/>
        </w:rPr>
        <w:t>vanaf 2026 vallen alleen gewone aandelen nog maar onder de BOR, in beginsel geen preferente aandelen of tracking stocks. Daarbij verdienen zogenoemde hybride aandelen extra aandacht, die kan de fiscus als preferente aandelen aanmerken;</w:t>
      </w:r>
    </w:p>
    <w:p w14:paraId="61E77D64" w14:textId="37A34B94" w:rsidR="00A20DF9" w:rsidRPr="0097338D" w:rsidRDefault="00A20DF9" w:rsidP="00A20DF9">
      <w:pPr>
        <w:pStyle w:val="Lijstalinea"/>
        <w:numPr>
          <w:ilvl w:val="0"/>
          <w:numId w:val="2"/>
        </w:numPr>
        <w:jc w:val="both"/>
        <w:rPr>
          <w:rFonts w:cs="Arial"/>
          <w:color w:val="000000" w:themeColor="text1"/>
          <w:sz w:val="22"/>
        </w:rPr>
      </w:pPr>
      <w:r w:rsidRPr="0097338D">
        <w:rPr>
          <w:rFonts w:cs="Arial"/>
          <w:color w:val="000000" w:themeColor="text1"/>
          <w:sz w:val="22"/>
        </w:rPr>
        <w:t>de bezitstermijn en de voortzettingstermijn worden versoepeld als het gaat om herstructureringen van bv-structuren.</w:t>
      </w:r>
    </w:p>
    <w:p w14:paraId="205716C7" w14:textId="4832065E"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Het is erg belangrijk dat u tijdig een mogelijk voornemen om uw onderneming over te dragen bij uw NOAB-adviseur aankaart. Het kan namelijk een aantal jaren duren, voordat uw onderneming helemaal geschikt is voor de BOR en/of DSR.</w:t>
      </w:r>
    </w:p>
    <w:p w14:paraId="48118784" w14:textId="77777777" w:rsidR="00A20DF9" w:rsidRPr="0097338D" w:rsidRDefault="00A20DF9" w:rsidP="00A20DF9">
      <w:pPr>
        <w:jc w:val="both"/>
        <w:rPr>
          <w:rFonts w:ascii="Arial" w:hAnsi="Arial" w:cs="Arial"/>
          <w:szCs w:val="32"/>
        </w:rPr>
      </w:pPr>
      <w:r w:rsidRPr="0097338D">
        <w:rPr>
          <w:rFonts w:ascii="Arial" w:hAnsi="Arial" w:cs="Arial"/>
          <w:szCs w:val="32"/>
        </w:rPr>
        <w:lastRenderedPageBreak/>
        <w:t>Expat-regeling</w:t>
      </w:r>
    </w:p>
    <w:p w14:paraId="6388A7C5" w14:textId="422B0CE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Als u gebruik maakt van expats, dan moet u er rekening mee houden dat de expat-regeling, ook wel genoemd de 30%-regeling, gaat veranderen.</w:t>
      </w:r>
    </w:p>
    <w:p w14:paraId="69BD6095" w14:textId="089AE212"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Eigenlijk zou de expat-regeling al met ingang van 1 januari aanstaande veranderen, in de zin dat alleen over de eerste 20 maanden 30% van het loon van kwalificerende extraterritoriale werknemer aan te merken is als onbelaste vergoeding voor extraterritoriale kosten. In daaropvolgende 20 maanden nog slechts 20% en voor laatste 20 maanden 10%.</w:t>
      </w:r>
    </w:p>
    <w:p w14:paraId="07174145" w14:textId="2B36AFB5"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Die versobering is echter teruggedraaid. De belastingvrije vergoeding blijft in 2025 en in 2026 gewoon 30%, maar wordt vanaf 2027 teruggebracht tot 27%. En dit, zonder afbouwtraject.</w:t>
      </w:r>
    </w:p>
    <w:p w14:paraId="62311F4B" w14:textId="7777777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Als dekking voor het terugdraaien van de versobering van de expat-regeling wordt de salaris-norm binnen de 30%-regeling verhoogd van € 46.107 naar € 50.436 euro (prijzen 2024). De 30%-regeling voor expats die jonger zijn dan 30 jaar met een mastergraad, wordt evenredig aangepast: van € 35.048 naar € 38.338.</w:t>
      </w:r>
    </w:p>
    <w:p w14:paraId="03EE0CD3" w14:textId="1CA0E43C"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Voor ingekomen werknemers die de expat-regeling al voor 2024 toepasten, geldt overgangsrecht: voor hen blijft het forfait 30% en blijven ook de oude (geïndexeerde) salarisnormen van toepassing.</w:t>
      </w:r>
    </w:p>
    <w:p w14:paraId="5E6E9FBE" w14:textId="77777777" w:rsidR="00A20DF9" w:rsidRPr="0097338D" w:rsidRDefault="00A20DF9" w:rsidP="00A20DF9">
      <w:pPr>
        <w:jc w:val="both"/>
        <w:rPr>
          <w:rFonts w:ascii="Arial" w:hAnsi="Arial" w:cs="Arial"/>
          <w:szCs w:val="32"/>
        </w:rPr>
      </w:pPr>
      <w:r w:rsidRPr="0097338D">
        <w:rPr>
          <w:rFonts w:ascii="Arial" w:hAnsi="Arial" w:cs="Arial"/>
          <w:szCs w:val="32"/>
        </w:rPr>
        <w:t>Inflatiecorrectie eindheffing bestelauto</w:t>
      </w:r>
    </w:p>
    <w:p w14:paraId="54F3127D" w14:textId="636096A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Een aantal bv’s stelt als werkgever een bestelauto van de zaak ter beschikking aan twee of meer werknemers, die de auto afwisselend gebruiken. Dan geldt onder voorwaarden al vanaf 2006 zogenoemde € 300-regeling. Daarbij mag een werkgever de bijtelling wegens privégebruik van de bestelauto aanwijzen als eindheffingsloon.</w:t>
      </w:r>
    </w:p>
    <w:p w14:paraId="3E574350" w14:textId="7777777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De hoogte van dat bedrag van € 300 wordt nu voor eerst sinds 2006 i.v.m. inflatie m.i.v. 01 januari aanstaande aangepast naar € 438.</w:t>
      </w:r>
    </w:p>
    <w:p w14:paraId="34BE37CB" w14:textId="77777777" w:rsidR="00A20DF9" w:rsidRPr="0097338D" w:rsidRDefault="00A20DF9" w:rsidP="00A20DF9">
      <w:pPr>
        <w:jc w:val="both"/>
        <w:rPr>
          <w:rFonts w:ascii="Arial" w:hAnsi="Arial" w:cs="Arial"/>
          <w:szCs w:val="32"/>
        </w:rPr>
      </w:pPr>
      <w:r w:rsidRPr="0097338D">
        <w:rPr>
          <w:rFonts w:ascii="Arial" w:hAnsi="Arial" w:cs="Arial"/>
          <w:szCs w:val="32"/>
        </w:rPr>
        <w:t>Andere maatregelen</w:t>
      </w:r>
    </w:p>
    <w:p w14:paraId="006F3786" w14:textId="77777777"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 xml:space="preserve">Behalve bovenstaande maatregelen gaat nog een aantal fiscale zaken veranderen, die voor u als </w:t>
      </w:r>
      <w:proofErr w:type="spellStart"/>
      <w:r w:rsidRPr="0097338D">
        <w:rPr>
          <w:rFonts w:ascii="Arial" w:hAnsi="Arial" w:cs="Arial"/>
          <w:color w:val="000000" w:themeColor="text1"/>
          <w:sz w:val="22"/>
        </w:rPr>
        <w:t>dga</w:t>
      </w:r>
      <w:proofErr w:type="spellEnd"/>
      <w:r w:rsidRPr="0097338D">
        <w:rPr>
          <w:rFonts w:ascii="Arial" w:hAnsi="Arial" w:cs="Arial"/>
          <w:color w:val="000000" w:themeColor="text1"/>
          <w:sz w:val="22"/>
        </w:rPr>
        <w:t xml:space="preserve"> belangrijk kunnen zijn.</w:t>
      </w:r>
    </w:p>
    <w:p w14:paraId="66504DB3" w14:textId="77777777" w:rsidR="00A20DF9" w:rsidRPr="0097338D" w:rsidRDefault="00A20DF9" w:rsidP="00A20DF9">
      <w:pPr>
        <w:pStyle w:val="Lijstalinea"/>
        <w:numPr>
          <w:ilvl w:val="0"/>
          <w:numId w:val="3"/>
        </w:numPr>
        <w:jc w:val="both"/>
        <w:rPr>
          <w:rFonts w:cs="Arial"/>
          <w:color w:val="000000" w:themeColor="text1"/>
          <w:sz w:val="22"/>
        </w:rPr>
      </w:pPr>
      <w:r w:rsidRPr="0097338D">
        <w:rPr>
          <w:rFonts w:cs="Arial"/>
          <w:color w:val="000000" w:themeColor="text1"/>
          <w:sz w:val="22"/>
        </w:rPr>
        <w:t>In de box 3-heffing zijn helaas nóg meer onduidelijkheden en onzekerheden ontstaan. Zeker nadat de Hoge Raad heeft geoordeeld dat een particulier alleen maar box 3-belasting hoeft te betalen over zijn werkelijk rendement, althans als dat lager is dan het forfaitaire rendement. Daarbij levert vooral het begrip werkelijk rendement discussie op. Deze materie wordt steeds complexer en wordt echt maatwerk. Uw NOAB-adviseur kan u hier meer over vertellen, gegeven uw specifieke situatie.</w:t>
      </w:r>
    </w:p>
    <w:p w14:paraId="27B9AF73" w14:textId="77777777" w:rsidR="00A20DF9" w:rsidRPr="0097338D" w:rsidRDefault="00A20DF9" w:rsidP="00A20DF9">
      <w:pPr>
        <w:pStyle w:val="Lijstalinea"/>
        <w:numPr>
          <w:ilvl w:val="0"/>
          <w:numId w:val="3"/>
        </w:numPr>
        <w:jc w:val="both"/>
        <w:rPr>
          <w:rFonts w:cs="Arial"/>
          <w:color w:val="000000" w:themeColor="text1"/>
          <w:sz w:val="22"/>
        </w:rPr>
      </w:pPr>
      <w:r w:rsidRPr="0097338D">
        <w:rPr>
          <w:rFonts w:cs="Arial"/>
          <w:color w:val="000000" w:themeColor="text1"/>
          <w:sz w:val="22"/>
        </w:rPr>
        <w:t>Het box 3-tarief bedraagt dit jaar 36%. Het zou volgend jaar worden verlaagd naar 34%, maar die verlaging gaat niet door. Het tarief blijft 36%.</w:t>
      </w:r>
    </w:p>
    <w:p w14:paraId="05529799" w14:textId="77777777" w:rsidR="00A20DF9" w:rsidRPr="0097338D" w:rsidRDefault="00A20DF9" w:rsidP="00A20DF9">
      <w:pPr>
        <w:pStyle w:val="Lijstalinea"/>
        <w:numPr>
          <w:ilvl w:val="0"/>
          <w:numId w:val="3"/>
        </w:numPr>
        <w:jc w:val="both"/>
        <w:rPr>
          <w:rFonts w:cs="Arial"/>
          <w:color w:val="000000" w:themeColor="text1"/>
          <w:sz w:val="22"/>
        </w:rPr>
      </w:pPr>
      <w:r w:rsidRPr="0097338D">
        <w:rPr>
          <w:rFonts w:cs="Arial"/>
          <w:color w:val="000000" w:themeColor="text1"/>
          <w:sz w:val="22"/>
        </w:rPr>
        <w:lastRenderedPageBreak/>
        <w:t>De eerder aangekondigde herinvoering van de rode diesel voor de landbouw gaat ook niet door.</w:t>
      </w:r>
    </w:p>
    <w:p w14:paraId="385B203F" w14:textId="77777777" w:rsidR="00A20DF9" w:rsidRPr="0097338D" w:rsidRDefault="00A20DF9" w:rsidP="00A20DF9">
      <w:pPr>
        <w:pStyle w:val="Lijstalinea"/>
        <w:numPr>
          <w:ilvl w:val="0"/>
          <w:numId w:val="3"/>
        </w:numPr>
        <w:jc w:val="both"/>
        <w:rPr>
          <w:rFonts w:cs="Arial"/>
          <w:color w:val="000000" w:themeColor="text1"/>
          <w:sz w:val="22"/>
        </w:rPr>
      </w:pPr>
      <w:r w:rsidRPr="0097338D">
        <w:rPr>
          <w:rFonts w:cs="Arial"/>
          <w:color w:val="000000" w:themeColor="text1"/>
          <w:sz w:val="22"/>
        </w:rPr>
        <w:t>De overdrachtsbelasting voor woningen waarin de koper niet zelf gaat wonen (beleg-gingswoningen), wordt in 2026 verlaagd van 10,4% naar 8%.</w:t>
      </w:r>
    </w:p>
    <w:p w14:paraId="6A8B1E23" w14:textId="7610121B" w:rsidR="00A20DF9" w:rsidRPr="0097338D" w:rsidRDefault="00A20DF9" w:rsidP="00A20DF9">
      <w:pPr>
        <w:pStyle w:val="Lijstalinea"/>
        <w:numPr>
          <w:ilvl w:val="0"/>
          <w:numId w:val="3"/>
        </w:numPr>
        <w:jc w:val="both"/>
        <w:rPr>
          <w:rFonts w:cs="Arial"/>
          <w:color w:val="000000" w:themeColor="text1"/>
          <w:sz w:val="22"/>
        </w:rPr>
      </w:pPr>
      <w:r w:rsidRPr="0097338D">
        <w:rPr>
          <w:rFonts w:cs="Arial"/>
          <w:color w:val="000000" w:themeColor="text1"/>
          <w:sz w:val="22"/>
        </w:rPr>
        <w:t>De salderingsregeling voor zonnepanelen wordt met ingang van 2027 definitief afgeschaft.</w:t>
      </w:r>
    </w:p>
    <w:p w14:paraId="7CE83318" w14:textId="12373223" w:rsidR="00A20DF9" w:rsidRPr="0097338D" w:rsidRDefault="00A20DF9" w:rsidP="00A20DF9">
      <w:pPr>
        <w:pStyle w:val="Lijstalinea"/>
        <w:numPr>
          <w:ilvl w:val="0"/>
          <w:numId w:val="3"/>
        </w:numPr>
        <w:jc w:val="both"/>
        <w:rPr>
          <w:rFonts w:cs="Arial"/>
          <w:color w:val="000000" w:themeColor="text1"/>
          <w:sz w:val="22"/>
        </w:rPr>
      </w:pPr>
      <w:r w:rsidRPr="0097338D">
        <w:rPr>
          <w:rFonts w:cs="Arial"/>
          <w:color w:val="000000" w:themeColor="text1"/>
          <w:sz w:val="22"/>
        </w:rPr>
        <w:t>De 25% tariefkorting in de motorrijtuigenbelasting voor elektrische auto’s blijft geldig tot en met 2029.</w:t>
      </w:r>
    </w:p>
    <w:p w14:paraId="72FD295C" w14:textId="77777777" w:rsidR="00A20DF9" w:rsidRPr="0097338D" w:rsidRDefault="00A20DF9" w:rsidP="00A20DF9">
      <w:pPr>
        <w:jc w:val="both"/>
        <w:rPr>
          <w:rFonts w:ascii="Arial" w:hAnsi="Arial" w:cs="Arial"/>
          <w:szCs w:val="32"/>
        </w:rPr>
      </w:pPr>
      <w:r w:rsidRPr="0097338D">
        <w:rPr>
          <w:rFonts w:ascii="Arial" w:hAnsi="Arial" w:cs="Arial"/>
          <w:szCs w:val="32"/>
        </w:rPr>
        <w:t>Ten slotte</w:t>
      </w:r>
    </w:p>
    <w:p w14:paraId="7528A22F" w14:textId="61939D81"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 xml:space="preserve">Deze notitie geeft de belangrijkste wijzigingen weer die op Prinsjesdag 2024 bekend zijn gemaakt. En dan speciaal voor u, als </w:t>
      </w:r>
      <w:proofErr w:type="spellStart"/>
      <w:r w:rsidRPr="0097338D">
        <w:rPr>
          <w:rFonts w:ascii="Arial" w:hAnsi="Arial" w:cs="Arial"/>
          <w:color w:val="000000" w:themeColor="text1"/>
          <w:sz w:val="22"/>
        </w:rPr>
        <w:t>dga</w:t>
      </w:r>
      <w:proofErr w:type="spellEnd"/>
      <w:r w:rsidRPr="0097338D">
        <w:rPr>
          <w:rFonts w:ascii="Arial" w:hAnsi="Arial" w:cs="Arial"/>
          <w:color w:val="000000" w:themeColor="text1"/>
          <w:sz w:val="22"/>
        </w:rPr>
        <w:t xml:space="preserve"> met uw eigen bv.</w:t>
      </w:r>
    </w:p>
    <w:p w14:paraId="65BA2B2A" w14:textId="436BFE98" w:rsidR="00A20DF9" w:rsidRPr="0097338D" w:rsidRDefault="00A20DF9" w:rsidP="00A20DF9">
      <w:pPr>
        <w:jc w:val="both"/>
        <w:rPr>
          <w:rFonts w:ascii="Arial" w:hAnsi="Arial" w:cs="Arial"/>
          <w:color w:val="000000" w:themeColor="text1"/>
          <w:sz w:val="22"/>
        </w:rPr>
      </w:pPr>
      <w:r w:rsidRPr="0097338D">
        <w:rPr>
          <w:rFonts w:ascii="Arial" w:hAnsi="Arial" w:cs="Arial"/>
          <w:color w:val="000000" w:themeColor="text1"/>
          <w:sz w:val="22"/>
        </w:rPr>
        <w:t>Maar het zijn algemene regels. Het spreekt voor zich dat uw NOAB-adviseur graag met u wilt bespreken wat dit nu precies in uw situatie voor gevolgen met zich meebrengt.</w:t>
      </w:r>
    </w:p>
    <w:sectPr w:rsidR="00A20DF9" w:rsidRPr="0097338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BEC55" w14:textId="77777777" w:rsidR="004C19F9" w:rsidRDefault="004C19F9" w:rsidP="004C19F9">
      <w:pPr>
        <w:spacing w:before="0" w:after="0" w:line="240" w:lineRule="auto"/>
      </w:pPr>
      <w:r>
        <w:separator/>
      </w:r>
    </w:p>
  </w:endnote>
  <w:endnote w:type="continuationSeparator" w:id="0">
    <w:p w14:paraId="2BA9AF14" w14:textId="77777777" w:rsidR="004C19F9" w:rsidRDefault="004C19F9" w:rsidP="004C19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hand">
    <w:altName w:val="Nirmala UI"/>
    <w:panose1 w:val="020000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Condensed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Roboto Condensed Light" w:hAnsi="Roboto Condensed Light"/>
        <w:sz w:val="18"/>
        <w:szCs w:val="18"/>
      </w:rPr>
      <w:id w:val="2135137343"/>
      <w:docPartObj>
        <w:docPartGallery w:val="Page Numbers (Bottom of Page)"/>
        <w:docPartUnique/>
      </w:docPartObj>
    </w:sdtPr>
    <w:sdtEndPr>
      <w:rPr>
        <w:rFonts w:ascii="Arial" w:hAnsi="Arial"/>
        <w:sz w:val="21"/>
        <w:szCs w:val="22"/>
      </w:rPr>
    </w:sdtEndPr>
    <w:sdtContent>
      <w:p w14:paraId="14F48C56" w14:textId="1E79BF07" w:rsidR="00900AD4" w:rsidRDefault="00900AD4">
        <w:pPr>
          <w:pStyle w:val="Voettekst"/>
          <w:jc w:val="right"/>
        </w:pPr>
        <w:r>
          <w:fldChar w:fldCharType="begin"/>
        </w:r>
        <w:r>
          <w:instrText>PAGE   \* MERGEFORMAT</w:instrText>
        </w:r>
        <w:r>
          <w:fldChar w:fldCharType="separate"/>
        </w:r>
        <w:r>
          <w:t>2</w:t>
        </w:r>
        <w:r>
          <w:fldChar w:fldCharType="end"/>
        </w:r>
      </w:p>
    </w:sdtContent>
  </w:sdt>
  <w:p w14:paraId="772F7461" w14:textId="31FB68E9" w:rsidR="00900AD4" w:rsidRPr="00900AD4" w:rsidRDefault="00900AD4">
    <w:pPr>
      <w:pStyle w:val="Voettekst"/>
      <w:rPr>
        <w:rFonts w:ascii="Roboto Condensed Light" w:hAnsi="Roboto Condensed Light"/>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EA1ED" w14:textId="77777777" w:rsidR="004C19F9" w:rsidRDefault="004C19F9" w:rsidP="004C19F9">
      <w:pPr>
        <w:spacing w:before="0" w:after="0" w:line="240" w:lineRule="auto"/>
      </w:pPr>
      <w:r>
        <w:separator/>
      </w:r>
    </w:p>
  </w:footnote>
  <w:footnote w:type="continuationSeparator" w:id="0">
    <w:p w14:paraId="1297D0F2" w14:textId="77777777" w:rsidR="004C19F9" w:rsidRDefault="004C19F9" w:rsidP="004C19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68384" w14:textId="5F2BB263" w:rsidR="004C19F9" w:rsidRDefault="007C1A01" w:rsidP="004C19F9">
    <w:r>
      <w:rPr>
        <w:noProof/>
      </w:rPr>
      <mc:AlternateContent>
        <mc:Choice Requires="wps">
          <w:drawing>
            <wp:anchor distT="45720" distB="45720" distL="114300" distR="114300" simplePos="0" relativeHeight="251658240" behindDoc="0" locked="0" layoutInCell="1" allowOverlap="1" wp14:anchorId="5BC2DD71" wp14:editId="26CA22AF">
              <wp:simplePos x="0" y="0"/>
              <wp:positionH relativeFrom="column">
                <wp:posOffset>871220</wp:posOffset>
              </wp:positionH>
              <wp:positionV relativeFrom="paragraph">
                <wp:posOffset>-192405</wp:posOffset>
              </wp:positionV>
              <wp:extent cx="5438775" cy="628650"/>
              <wp:effectExtent l="0" t="0" r="9525" b="0"/>
              <wp:wrapSquare wrapText="bothSides"/>
              <wp:docPr id="5090487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628650"/>
                      </a:xfrm>
                      <a:prstGeom prst="rect">
                        <a:avLst/>
                      </a:prstGeom>
                      <a:solidFill>
                        <a:srgbClr val="E9E9E9"/>
                      </a:solidFill>
                      <a:ln w="9525">
                        <a:noFill/>
                        <a:miter lim="800000"/>
                        <a:headEnd/>
                        <a:tailEnd/>
                      </a:ln>
                    </wps:spPr>
                    <wps:txbx>
                      <w:txbxContent>
                        <w:p w14:paraId="434DEB6C" w14:textId="33A1542A" w:rsidR="004C19F9" w:rsidRPr="000606F3" w:rsidRDefault="007C1A01">
                          <w:pPr>
                            <w:rPr>
                              <w:rFonts w:ascii="Arial" w:hAnsi="Arial" w:cs="Arial"/>
                              <w:color w:val="000000"/>
                              <w:sz w:val="34"/>
                              <w:szCs w:val="34"/>
                            </w:rPr>
                          </w:pPr>
                          <w:r w:rsidRPr="000606F3">
                            <w:rPr>
                              <w:rFonts w:ascii="Arial" w:hAnsi="Arial" w:cs="Arial"/>
                              <w:color w:val="000000"/>
                              <w:sz w:val="34"/>
                              <w:szCs w:val="34"/>
                            </w:rPr>
                            <w:t>Prinsjesdag special</w:t>
                          </w:r>
                          <w:r w:rsidR="00900AD4" w:rsidRPr="000606F3">
                            <w:rPr>
                              <w:rFonts w:ascii="Arial" w:hAnsi="Arial" w:cs="Arial"/>
                              <w:color w:val="000000"/>
                              <w:sz w:val="34"/>
                              <w:szCs w:val="34"/>
                            </w:rPr>
                            <w:t xml:space="preserve"> voor </w:t>
                          </w:r>
                          <w:proofErr w:type="spellStart"/>
                          <w:r w:rsidR="00900AD4" w:rsidRPr="000606F3">
                            <w:rPr>
                              <w:rFonts w:ascii="Arial" w:hAnsi="Arial" w:cs="Arial"/>
                              <w:color w:val="000000"/>
                              <w:sz w:val="34"/>
                              <w:szCs w:val="34"/>
                            </w:rPr>
                            <w:t>dga’s</w:t>
                          </w:r>
                          <w:proofErr w:type="spellEnd"/>
                          <w:r w:rsidR="00900AD4" w:rsidRPr="000606F3">
                            <w:rPr>
                              <w:rFonts w:ascii="Arial" w:hAnsi="Arial" w:cs="Arial"/>
                              <w:color w:val="000000"/>
                              <w:sz w:val="34"/>
                              <w:szCs w:val="34"/>
                            </w:rPr>
                            <w:t xml:space="preserve"> </w:t>
                          </w:r>
                          <w:r w:rsidRPr="000606F3">
                            <w:rPr>
                              <w:rFonts w:ascii="Arial" w:hAnsi="Arial" w:cs="Arial"/>
                              <w:color w:val="000000"/>
                              <w:sz w:val="34"/>
                              <w:szCs w:val="3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2DD71" id="_x0000_t202" coordsize="21600,21600" o:spt="202" path="m,l,21600r21600,l21600,xe">
              <v:stroke joinstyle="miter"/>
              <v:path gradientshapeok="t" o:connecttype="rect"/>
            </v:shapetype>
            <v:shape id="Tekstvak 2" o:spid="_x0000_s1026" type="#_x0000_t202" style="position:absolute;margin-left:68.6pt;margin-top:-15.15pt;width:428.25pt;height: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" fillcolor="#e9e9e9" stroked="f">
              <v:textbox>
                <w:txbxContent>
                  <w:p w14:paraId="434DEB6C" w14:textId="33A1542A" w:rsidR="004C19F9" w:rsidRPr="000606F3" w:rsidRDefault="007C1A01">
                    <w:pPr>
                      <w:rPr>
                        <w:rFonts w:ascii="Arial" w:hAnsi="Arial" w:cs="Arial"/>
                        <w:color w:val="000000"/>
                        <w:sz w:val="34"/>
                        <w:szCs w:val="34"/>
                      </w:rPr>
                    </w:pPr>
                    <w:r w:rsidRPr="000606F3">
                      <w:rPr>
                        <w:rFonts w:ascii="Arial" w:hAnsi="Arial" w:cs="Arial"/>
                        <w:color w:val="000000"/>
                        <w:sz w:val="34"/>
                        <w:szCs w:val="34"/>
                      </w:rPr>
                      <w:t>Prinsjesdag special</w:t>
                    </w:r>
                    <w:r w:rsidR="00900AD4" w:rsidRPr="000606F3">
                      <w:rPr>
                        <w:rFonts w:ascii="Arial" w:hAnsi="Arial" w:cs="Arial"/>
                        <w:color w:val="000000"/>
                        <w:sz w:val="34"/>
                        <w:szCs w:val="34"/>
                      </w:rPr>
                      <w:t xml:space="preserve"> voor </w:t>
                    </w:r>
                    <w:proofErr w:type="spellStart"/>
                    <w:r w:rsidR="00900AD4" w:rsidRPr="000606F3">
                      <w:rPr>
                        <w:rFonts w:ascii="Arial" w:hAnsi="Arial" w:cs="Arial"/>
                        <w:color w:val="000000"/>
                        <w:sz w:val="34"/>
                        <w:szCs w:val="34"/>
                      </w:rPr>
                      <w:t>dga’s</w:t>
                    </w:r>
                    <w:proofErr w:type="spellEnd"/>
                    <w:r w:rsidR="00900AD4" w:rsidRPr="000606F3">
                      <w:rPr>
                        <w:rFonts w:ascii="Arial" w:hAnsi="Arial" w:cs="Arial"/>
                        <w:color w:val="000000"/>
                        <w:sz w:val="34"/>
                        <w:szCs w:val="34"/>
                      </w:rPr>
                      <w:t xml:space="preserve"> </w:t>
                    </w:r>
                    <w:r w:rsidRPr="000606F3">
                      <w:rPr>
                        <w:rFonts w:ascii="Arial" w:hAnsi="Arial" w:cs="Arial"/>
                        <w:color w:val="000000"/>
                        <w:sz w:val="34"/>
                        <w:szCs w:val="34"/>
                      </w:rPr>
                      <w:t>2024</w:t>
                    </w:r>
                  </w:p>
                </w:txbxContent>
              </v:textbox>
              <w10:wrap type="square"/>
            </v:shape>
          </w:pict>
        </mc:Fallback>
      </mc:AlternateContent>
    </w:r>
    <w:r w:rsidR="009D6520">
      <w:rPr>
        <w:noProof/>
      </w:rPr>
      <mc:AlternateContent>
        <mc:Choice Requires="wps">
          <w:drawing>
            <wp:anchor distT="45720" distB="45720" distL="114300" distR="114300" simplePos="0" relativeHeight="251660288" behindDoc="0" locked="0" layoutInCell="1" allowOverlap="1" wp14:anchorId="188F1357" wp14:editId="0C8FA046">
              <wp:simplePos x="0" y="0"/>
              <wp:positionH relativeFrom="margin">
                <wp:align>left</wp:align>
              </wp:positionH>
              <wp:positionV relativeFrom="paragraph">
                <wp:posOffset>-497205</wp:posOffset>
              </wp:positionV>
              <wp:extent cx="752475" cy="1057275"/>
              <wp:effectExtent l="0" t="0" r="28575" b="28575"/>
              <wp:wrapSquare wrapText="bothSides"/>
              <wp:docPr id="19974094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057275"/>
                      </a:xfrm>
                      <a:prstGeom prst="rect">
                        <a:avLst/>
                      </a:prstGeom>
                      <a:solidFill>
                        <a:srgbClr val="E9E9E9"/>
                      </a:solidFill>
                      <a:ln w="9525">
                        <a:solidFill>
                          <a:srgbClr val="E9E9E9"/>
                        </a:solidFill>
                        <a:miter lim="800000"/>
                        <a:headEnd/>
                        <a:tailEnd/>
                      </a:ln>
                    </wps:spPr>
                    <wps:txbx>
                      <w:txbxContent>
                        <w:p w14:paraId="63E3923F" w14:textId="7BC10A0C" w:rsidR="004C19F9" w:rsidRDefault="009D6520">
                          <w:r>
                            <w:rPr>
                              <w:noProof/>
                            </w:rPr>
                            <w:drawing>
                              <wp:inline distT="0" distB="0" distL="0" distR="0" wp14:anchorId="37BF6EEC" wp14:editId="5D3BF05C">
                                <wp:extent cx="551815" cy="737870"/>
                                <wp:effectExtent l="0" t="0" r="635" b="0"/>
                                <wp:docPr id="755796790" name="Afbeelding 2" descr="Afbeelding met Lettertype, Graphics, sinaasappe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96790" name="Afbeelding 2" descr="Afbeelding met Lettertype, Graphics, sinaasappel,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7378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F1357" id="_x0000_s1027" type="#_x0000_t202" style="position:absolute;margin-left:0;margin-top:-39.15pt;width:59.25pt;height:8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" fillcolor="#e9e9e9" strokecolor="#e9e9e9">
              <v:textbox>
                <w:txbxContent>
                  <w:p w14:paraId="63E3923F" w14:textId="7BC10A0C" w:rsidR="004C19F9" w:rsidRDefault="009D6520">
                    <w:r>
                      <w:rPr>
                        <w:noProof/>
                      </w:rPr>
                      <w:drawing>
                        <wp:inline distT="0" distB="0" distL="0" distR="0" wp14:anchorId="37BF6EEC" wp14:editId="5D3BF05C">
                          <wp:extent cx="551815" cy="737870"/>
                          <wp:effectExtent l="0" t="0" r="635" b="0"/>
                          <wp:docPr id="755796790" name="Afbeelding 2" descr="Afbeelding met Lettertype, Graphics, sinaasappe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96790" name="Afbeelding 2" descr="Afbeelding met Lettertype, Graphics, sinaasappel,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737870"/>
                                  </a:xfrm>
                                  <a:prstGeom prst="rect">
                                    <a:avLst/>
                                  </a:prstGeom>
                                  <a:noFill/>
                                  <a:ln>
                                    <a:noFill/>
                                  </a:ln>
                                </pic:spPr>
                              </pic:pic>
                            </a:graphicData>
                          </a:graphic>
                        </wp:inline>
                      </w:drawing>
                    </w:r>
                  </w:p>
                </w:txbxContent>
              </v:textbox>
              <w10:wrap type="square" anchorx="margin"/>
            </v:shape>
          </w:pict>
        </mc:Fallback>
      </mc:AlternateContent>
    </w:r>
    <w:r w:rsidR="009D6520">
      <w:rPr>
        <w:noProof/>
      </w:rPr>
      <mc:AlternateContent>
        <mc:Choice Requires="wps">
          <w:drawing>
            <wp:anchor distT="45720" distB="45720" distL="114300" distR="114300" simplePos="0" relativeHeight="251656192" behindDoc="0" locked="0" layoutInCell="1" allowOverlap="1" wp14:anchorId="089B3F5D" wp14:editId="14A830F1">
              <wp:simplePos x="0" y="0"/>
              <wp:positionH relativeFrom="page">
                <wp:posOffset>-304800</wp:posOffset>
              </wp:positionH>
              <wp:positionV relativeFrom="paragraph">
                <wp:posOffset>-516255</wp:posOffset>
              </wp:positionV>
              <wp:extent cx="8258175" cy="1104900"/>
              <wp:effectExtent l="0" t="0" r="952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8175" cy="1104900"/>
                      </a:xfrm>
                      <a:prstGeom prst="rect">
                        <a:avLst/>
                      </a:prstGeom>
                      <a:solidFill>
                        <a:srgbClr val="E9E9E9"/>
                      </a:solidFill>
                      <a:ln w="9525">
                        <a:noFill/>
                        <a:miter lim="800000"/>
                        <a:headEnd/>
                        <a:tailEnd/>
                      </a:ln>
                    </wps:spPr>
                    <wps:txbx>
                      <w:txbxContent>
                        <w:p w14:paraId="42CB8BF0" w14:textId="41FF75C1" w:rsidR="004C19F9" w:rsidRDefault="004C19F9" w:rsidP="004C19F9">
                          <w:pPr>
                            <w:shd w:val="clear" w:color="auto" w:fill="E8E8E8" w:themeFill="background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B3F5D" id="_x0000_s1028" type="#_x0000_t202" style="position:absolute;margin-left:-24pt;margin-top:-40.65pt;width:650.25pt;height:87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" fillcolor="#e9e9e9" stroked="f">
              <v:textbox>
                <w:txbxContent>
                  <w:p w14:paraId="42CB8BF0" w14:textId="41FF75C1" w:rsidR="004C19F9" w:rsidRDefault="004C19F9" w:rsidP="004C19F9">
                    <w:pPr>
                      <w:shd w:val="clear" w:color="auto" w:fill="E8E8E8" w:themeFill="background2"/>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21E02"/>
    <w:multiLevelType w:val="hybridMultilevel"/>
    <w:tmpl w:val="C12C3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AC7D14"/>
    <w:multiLevelType w:val="hybridMultilevel"/>
    <w:tmpl w:val="8C82E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F44E4E"/>
    <w:multiLevelType w:val="hybridMultilevel"/>
    <w:tmpl w:val="A5C2A2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9979107">
    <w:abstractNumId w:val="0"/>
  </w:num>
  <w:num w:numId="2" w16cid:durableId="495462110">
    <w:abstractNumId w:val="2"/>
  </w:num>
  <w:num w:numId="3" w16cid:durableId="691347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F9"/>
    <w:rsid w:val="00017B21"/>
    <w:rsid w:val="000606F3"/>
    <w:rsid w:val="00223787"/>
    <w:rsid w:val="00243391"/>
    <w:rsid w:val="0032648F"/>
    <w:rsid w:val="004A7852"/>
    <w:rsid w:val="004C19F9"/>
    <w:rsid w:val="005241E0"/>
    <w:rsid w:val="005A5FB2"/>
    <w:rsid w:val="006A4EAB"/>
    <w:rsid w:val="007C1A01"/>
    <w:rsid w:val="00900AD4"/>
    <w:rsid w:val="0097338D"/>
    <w:rsid w:val="009D6520"/>
    <w:rsid w:val="00A20DF9"/>
    <w:rsid w:val="00B43F92"/>
    <w:rsid w:val="00BD009B"/>
    <w:rsid w:val="00C05B67"/>
    <w:rsid w:val="00C9672D"/>
    <w:rsid w:val="00EB4B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58C5C0"/>
  <w15:chartTrackingRefBased/>
  <w15:docId w15:val="{D771D47E-E5DA-47FB-B002-535F049A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ussenkop"/>
    <w:qFormat/>
    <w:rsid w:val="009D6520"/>
    <w:pPr>
      <w:spacing w:before="240" w:after="60" w:line="278" w:lineRule="auto"/>
    </w:pPr>
    <w:rPr>
      <w:rFonts w:ascii="Khand" w:hAnsi="Khand"/>
      <w:color w:val="FF8200"/>
      <w:kern w:val="0"/>
      <w:sz w:val="32"/>
      <w14:ligatures w14:val="none"/>
    </w:rPr>
  </w:style>
  <w:style w:type="paragraph" w:styleId="Kop1">
    <w:name w:val="heading 1"/>
    <w:basedOn w:val="Standaard"/>
    <w:next w:val="Standaard"/>
    <w:link w:val="Kop1Char"/>
    <w:uiPriority w:val="9"/>
    <w:qFormat/>
    <w:rsid w:val="004C19F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19F9"/>
    <w:pPr>
      <w:keepNext/>
      <w:keepLines/>
      <w:spacing w:before="160" w:after="80" w:line="259" w:lineRule="auto"/>
      <w:outlineLvl w:val="1"/>
    </w:pPr>
    <w:rPr>
      <w:rFonts w:asciiTheme="majorHAnsi" w:eastAsiaTheme="majorEastAsia" w:hAnsiTheme="majorHAnsi" w:cstheme="majorBidi"/>
      <w:color w:val="0F4761" w:themeColor="accent1" w:themeShade="BF"/>
      <w:szCs w:val="32"/>
    </w:rPr>
  </w:style>
  <w:style w:type="paragraph" w:styleId="Kop3">
    <w:name w:val="heading 3"/>
    <w:basedOn w:val="Standaard"/>
    <w:next w:val="Standaard"/>
    <w:link w:val="Kop3Char"/>
    <w:uiPriority w:val="9"/>
    <w:semiHidden/>
    <w:unhideWhenUsed/>
    <w:qFormat/>
    <w:rsid w:val="004C19F9"/>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19F9"/>
    <w:pPr>
      <w:keepNext/>
      <w:keepLines/>
      <w:spacing w:before="80" w:after="40" w:line="259" w:lineRule="auto"/>
      <w:outlineLvl w:val="3"/>
    </w:pPr>
    <w:rPr>
      <w:rFonts w:asciiTheme="minorHAnsi" w:eastAsiaTheme="majorEastAsia" w:hAnsiTheme="minorHAnsi" w:cstheme="majorBidi"/>
      <w:i/>
      <w:iCs/>
      <w:color w:val="0F4761" w:themeColor="accent1" w:themeShade="BF"/>
      <w:sz w:val="21"/>
    </w:rPr>
  </w:style>
  <w:style w:type="paragraph" w:styleId="Kop5">
    <w:name w:val="heading 5"/>
    <w:basedOn w:val="Standaard"/>
    <w:next w:val="Standaard"/>
    <w:link w:val="Kop5Char"/>
    <w:uiPriority w:val="9"/>
    <w:semiHidden/>
    <w:unhideWhenUsed/>
    <w:qFormat/>
    <w:rsid w:val="004C19F9"/>
    <w:pPr>
      <w:keepNext/>
      <w:keepLines/>
      <w:spacing w:before="80" w:after="40" w:line="259" w:lineRule="auto"/>
      <w:outlineLvl w:val="4"/>
    </w:pPr>
    <w:rPr>
      <w:rFonts w:asciiTheme="minorHAnsi" w:eastAsiaTheme="majorEastAsia" w:hAnsiTheme="minorHAnsi" w:cstheme="majorBidi"/>
      <w:color w:val="0F4761" w:themeColor="accent1" w:themeShade="BF"/>
      <w:sz w:val="21"/>
    </w:rPr>
  </w:style>
  <w:style w:type="paragraph" w:styleId="Kop6">
    <w:name w:val="heading 6"/>
    <w:basedOn w:val="Standaard"/>
    <w:next w:val="Standaard"/>
    <w:link w:val="Kop6Char"/>
    <w:uiPriority w:val="9"/>
    <w:semiHidden/>
    <w:unhideWhenUsed/>
    <w:qFormat/>
    <w:rsid w:val="004C19F9"/>
    <w:pPr>
      <w:keepNext/>
      <w:keepLines/>
      <w:spacing w:before="40" w:after="0" w:line="259" w:lineRule="auto"/>
      <w:outlineLvl w:val="5"/>
    </w:pPr>
    <w:rPr>
      <w:rFonts w:asciiTheme="minorHAnsi" w:eastAsiaTheme="majorEastAsia" w:hAnsiTheme="minorHAnsi" w:cstheme="majorBidi"/>
      <w:i/>
      <w:iCs/>
      <w:color w:val="595959" w:themeColor="text1" w:themeTint="A6"/>
      <w:sz w:val="21"/>
    </w:rPr>
  </w:style>
  <w:style w:type="paragraph" w:styleId="Kop7">
    <w:name w:val="heading 7"/>
    <w:basedOn w:val="Standaard"/>
    <w:next w:val="Standaard"/>
    <w:link w:val="Kop7Char"/>
    <w:uiPriority w:val="9"/>
    <w:semiHidden/>
    <w:unhideWhenUsed/>
    <w:qFormat/>
    <w:rsid w:val="004C19F9"/>
    <w:pPr>
      <w:keepNext/>
      <w:keepLines/>
      <w:spacing w:before="40" w:after="0" w:line="259" w:lineRule="auto"/>
      <w:outlineLvl w:val="6"/>
    </w:pPr>
    <w:rPr>
      <w:rFonts w:asciiTheme="minorHAnsi" w:eastAsiaTheme="majorEastAsia" w:hAnsiTheme="minorHAnsi" w:cstheme="majorBidi"/>
      <w:color w:val="595959" w:themeColor="text1" w:themeTint="A6"/>
      <w:sz w:val="21"/>
    </w:rPr>
  </w:style>
  <w:style w:type="paragraph" w:styleId="Kop8">
    <w:name w:val="heading 8"/>
    <w:basedOn w:val="Standaard"/>
    <w:next w:val="Standaard"/>
    <w:link w:val="Kop8Char"/>
    <w:uiPriority w:val="9"/>
    <w:semiHidden/>
    <w:unhideWhenUsed/>
    <w:qFormat/>
    <w:rsid w:val="004C19F9"/>
    <w:pPr>
      <w:keepNext/>
      <w:keepLines/>
      <w:spacing w:before="0" w:after="0" w:line="259" w:lineRule="auto"/>
      <w:outlineLvl w:val="7"/>
    </w:pPr>
    <w:rPr>
      <w:rFonts w:asciiTheme="minorHAnsi" w:eastAsiaTheme="majorEastAsia" w:hAnsiTheme="minorHAnsi" w:cstheme="majorBidi"/>
      <w:i/>
      <w:iCs/>
      <w:color w:val="272727" w:themeColor="text1" w:themeTint="D8"/>
      <w:sz w:val="21"/>
    </w:rPr>
  </w:style>
  <w:style w:type="paragraph" w:styleId="Kop9">
    <w:name w:val="heading 9"/>
    <w:basedOn w:val="Standaard"/>
    <w:next w:val="Standaard"/>
    <w:link w:val="Kop9Char"/>
    <w:uiPriority w:val="9"/>
    <w:semiHidden/>
    <w:unhideWhenUsed/>
    <w:qFormat/>
    <w:rsid w:val="004C19F9"/>
    <w:pPr>
      <w:keepNext/>
      <w:keepLines/>
      <w:spacing w:before="0" w:after="0" w:line="259" w:lineRule="auto"/>
      <w:outlineLvl w:val="8"/>
    </w:pPr>
    <w:rPr>
      <w:rFonts w:asciiTheme="minorHAnsi" w:eastAsiaTheme="majorEastAsia" w:hAnsiTheme="minorHAnsi" w:cstheme="majorBidi"/>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9F9"/>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4C19F9"/>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4C19F9"/>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4C19F9"/>
    <w:rPr>
      <w:rFonts w:eastAsiaTheme="majorEastAsia" w:cstheme="majorBidi"/>
      <w:i/>
      <w:iCs/>
      <w:color w:val="0F4761" w:themeColor="accent1" w:themeShade="BF"/>
      <w:kern w:val="0"/>
      <w:sz w:val="21"/>
      <w14:ligatures w14:val="none"/>
    </w:rPr>
  </w:style>
  <w:style w:type="character" w:customStyle="1" w:styleId="Kop5Char">
    <w:name w:val="Kop 5 Char"/>
    <w:basedOn w:val="Standaardalinea-lettertype"/>
    <w:link w:val="Kop5"/>
    <w:uiPriority w:val="9"/>
    <w:semiHidden/>
    <w:rsid w:val="004C19F9"/>
    <w:rPr>
      <w:rFonts w:eastAsiaTheme="majorEastAsia" w:cstheme="majorBidi"/>
      <w:color w:val="0F4761" w:themeColor="accent1" w:themeShade="BF"/>
      <w:kern w:val="0"/>
      <w:sz w:val="21"/>
      <w14:ligatures w14:val="none"/>
    </w:rPr>
  </w:style>
  <w:style w:type="character" w:customStyle="1" w:styleId="Kop6Char">
    <w:name w:val="Kop 6 Char"/>
    <w:basedOn w:val="Standaardalinea-lettertype"/>
    <w:link w:val="Kop6"/>
    <w:uiPriority w:val="9"/>
    <w:semiHidden/>
    <w:rsid w:val="004C19F9"/>
    <w:rPr>
      <w:rFonts w:eastAsiaTheme="majorEastAsia" w:cstheme="majorBidi"/>
      <w:i/>
      <w:iCs/>
      <w:color w:val="595959" w:themeColor="text1" w:themeTint="A6"/>
      <w:kern w:val="0"/>
      <w:sz w:val="21"/>
      <w14:ligatures w14:val="none"/>
    </w:rPr>
  </w:style>
  <w:style w:type="character" w:customStyle="1" w:styleId="Kop7Char">
    <w:name w:val="Kop 7 Char"/>
    <w:basedOn w:val="Standaardalinea-lettertype"/>
    <w:link w:val="Kop7"/>
    <w:uiPriority w:val="9"/>
    <w:semiHidden/>
    <w:rsid w:val="004C19F9"/>
    <w:rPr>
      <w:rFonts w:eastAsiaTheme="majorEastAsia" w:cstheme="majorBidi"/>
      <w:color w:val="595959" w:themeColor="text1" w:themeTint="A6"/>
      <w:kern w:val="0"/>
      <w:sz w:val="21"/>
      <w14:ligatures w14:val="none"/>
    </w:rPr>
  </w:style>
  <w:style w:type="character" w:customStyle="1" w:styleId="Kop8Char">
    <w:name w:val="Kop 8 Char"/>
    <w:basedOn w:val="Standaardalinea-lettertype"/>
    <w:link w:val="Kop8"/>
    <w:uiPriority w:val="9"/>
    <w:semiHidden/>
    <w:rsid w:val="004C19F9"/>
    <w:rPr>
      <w:rFonts w:eastAsiaTheme="majorEastAsia" w:cstheme="majorBidi"/>
      <w:i/>
      <w:iCs/>
      <w:color w:val="272727" w:themeColor="text1" w:themeTint="D8"/>
      <w:kern w:val="0"/>
      <w:sz w:val="21"/>
      <w14:ligatures w14:val="none"/>
    </w:rPr>
  </w:style>
  <w:style w:type="character" w:customStyle="1" w:styleId="Kop9Char">
    <w:name w:val="Kop 9 Char"/>
    <w:basedOn w:val="Standaardalinea-lettertype"/>
    <w:link w:val="Kop9"/>
    <w:uiPriority w:val="9"/>
    <w:semiHidden/>
    <w:rsid w:val="004C19F9"/>
    <w:rPr>
      <w:rFonts w:eastAsiaTheme="majorEastAsia" w:cstheme="majorBidi"/>
      <w:color w:val="272727" w:themeColor="text1" w:themeTint="D8"/>
      <w:kern w:val="0"/>
      <w:sz w:val="21"/>
      <w14:ligatures w14:val="none"/>
    </w:rPr>
  </w:style>
  <w:style w:type="paragraph" w:styleId="Titel">
    <w:name w:val="Title"/>
    <w:basedOn w:val="Standaard"/>
    <w:next w:val="Standaard"/>
    <w:link w:val="TitelChar"/>
    <w:uiPriority w:val="10"/>
    <w:qFormat/>
    <w:rsid w:val="004C19F9"/>
    <w:pPr>
      <w:spacing w:before="0"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4C19F9"/>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4C19F9"/>
    <w:pPr>
      <w:numPr>
        <w:ilvl w:val="1"/>
      </w:numPr>
      <w:spacing w:before="0"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9F9"/>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4C19F9"/>
    <w:pPr>
      <w:spacing w:before="160" w:after="160" w:line="259" w:lineRule="auto"/>
      <w:jc w:val="center"/>
    </w:pPr>
    <w:rPr>
      <w:rFonts w:ascii="Arial" w:hAnsi="Arial"/>
      <w:i/>
      <w:iCs/>
      <w:color w:val="404040" w:themeColor="text1" w:themeTint="BF"/>
      <w:sz w:val="21"/>
    </w:rPr>
  </w:style>
  <w:style w:type="character" w:customStyle="1" w:styleId="CitaatChar">
    <w:name w:val="Citaat Char"/>
    <w:basedOn w:val="Standaardalinea-lettertype"/>
    <w:link w:val="Citaat"/>
    <w:uiPriority w:val="29"/>
    <w:rsid w:val="004C19F9"/>
    <w:rPr>
      <w:rFonts w:ascii="Arial" w:hAnsi="Arial"/>
      <w:i/>
      <w:iCs/>
      <w:color w:val="404040" w:themeColor="text1" w:themeTint="BF"/>
      <w:kern w:val="0"/>
      <w:sz w:val="21"/>
      <w14:ligatures w14:val="none"/>
    </w:rPr>
  </w:style>
  <w:style w:type="paragraph" w:styleId="Lijstalinea">
    <w:name w:val="List Paragraph"/>
    <w:basedOn w:val="Standaard"/>
    <w:uiPriority w:val="34"/>
    <w:qFormat/>
    <w:rsid w:val="004C19F9"/>
    <w:pPr>
      <w:spacing w:before="0" w:after="160" w:line="259" w:lineRule="auto"/>
      <w:ind w:left="720"/>
      <w:contextualSpacing/>
    </w:pPr>
    <w:rPr>
      <w:rFonts w:ascii="Arial" w:hAnsi="Arial"/>
      <w:color w:val="auto"/>
      <w:sz w:val="21"/>
    </w:rPr>
  </w:style>
  <w:style w:type="character" w:styleId="Intensievebenadrukking">
    <w:name w:val="Intense Emphasis"/>
    <w:basedOn w:val="Standaardalinea-lettertype"/>
    <w:uiPriority w:val="21"/>
    <w:qFormat/>
    <w:rsid w:val="004C19F9"/>
    <w:rPr>
      <w:i/>
      <w:iCs/>
      <w:color w:val="0F4761" w:themeColor="accent1" w:themeShade="BF"/>
    </w:rPr>
  </w:style>
  <w:style w:type="paragraph" w:styleId="Duidelijkcitaat">
    <w:name w:val="Intense Quote"/>
    <w:basedOn w:val="Standaard"/>
    <w:next w:val="Standaard"/>
    <w:link w:val="DuidelijkcitaatChar"/>
    <w:uiPriority w:val="30"/>
    <w:qFormat/>
    <w:rsid w:val="004C19F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hAnsi="Arial"/>
      <w:i/>
      <w:iCs/>
      <w:color w:val="0F4761" w:themeColor="accent1" w:themeShade="BF"/>
      <w:sz w:val="21"/>
    </w:rPr>
  </w:style>
  <w:style w:type="character" w:customStyle="1" w:styleId="DuidelijkcitaatChar">
    <w:name w:val="Duidelijk citaat Char"/>
    <w:basedOn w:val="Standaardalinea-lettertype"/>
    <w:link w:val="Duidelijkcitaat"/>
    <w:uiPriority w:val="30"/>
    <w:rsid w:val="004C19F9"/>
    <w:rPr>
      <w:rFonts w:ascii="Arial" w:hAnsi="Arial"/>
      <w:i/>
      <w:iCs/>
      <w:color w:val="0F4761" w:themeColor="accent1" w:themeShade="BF"/>
      <w:kern w:val="0"/>
      <w:sz w:val="21"/>
      <w14:ligatures w14:val="none"/>
    </w:rPr>
  </w:style>
  <w:style w:type="character" w:styleId="Intensieveverwijzing">
    <w:name w:val="Intense Reference"/>
    <w:basedOn w:val="Standaardalinea-lettertype"/>
    <w:uiPriority w:val="32"/>
    <w:qFormat/>
    <w:rsid w:val="004C19F9"/>
    <w:rPr>
      <w:b/>
      <w:bCs/>
      <w:smallCaps/>
      <w:color w:val="0F4761" w:themeColor="accent1" w:themeShade="BF"/>
      <w:spacing w:val="5"/>
    </w:rPr>
  </w:style>
  <w:style w:type="paragraph" w:styleId="Koptekst">
    <w:name w:val="header"/>
    <w:basedOn w:val="Standaard"/>
    <w:link w:val="KoptekstChar"/>
    <w:uiPriority w:val="99"/>
    <w:unhideWhenUsed/>
    <w:rsid w:val="004C19F9"/>
    <w:pPr>
      <w:tabs>
        <w:tab w:val="center" w:pos="4536"/>
        <w:tab w:val="right" w:pos="9072"/>
      </w:tabs>
      <w:spacing w:before="0" w:after="0" w:line="240" w:lineRule="auto"/>
    </w:pPr>
    <w:rPr>
      <w:rFonts w:ascii="Arial" w:hAnsi="Arial"/>
      <w:color w:val="auto"/>
      <w:sz w:val="21"/>
    </w:rPr>
  </w:style>
  <w:style w:type="character" w:customStyle="1" w:styleId="KoptekstChar">
    <w:name w:val="Koptekst Char"/>
    <w:basedOn w:val="Standaardalinea-lettertype"/>
    <w:link w:val="Koptekst"/>
    <w:uiPriority w:val="99"/>
    <w:rsid w:val="004C19F9"/>
    <w:rPr>
      <w:rFonts w:ascii="Arial" w:hAnsi="Arial"/>
      <w:kern w:val="0"/>
      <w:sz w:val="21"/>
      <w14:ligatures w14:val="none"/>
    </w:rPr>
  </w:style>
  <w:style w:type="paragraph" w:styleId="Voettekst">
    <w:name w:val="footer"/>
    <w:basedOn w:val="Standaard"/>
    <w:link w:val="VoettekstChar"/>
    <w:uiPriority w:val="99"/>
    <w:unhideWhenUsed/>
    <w:rsid w:val="004C19F9"/>
    <w:pPr>
      <w:tabs>
        <w:tab w:val="center" w:pos="4536"/>
        <w:tab w:val="right" w:pos="9072"/>
      </w:tabs>
      <w:spacing w:before="0" w:after="0" w:line="240" w:lineRule="auto"/>
    </w:pPr>
    <w:rPr>
      <w:rFonts w:ascii="Arial" w:hAnsi="Arial"/>
      <w:color w:val="auto"/>
      <w:sz w:val="21"/>
    </w:rPr>
  </w:style>
  <w:style w:type="character" w:customStyle="1" w:styleId="VoettekstChar">
    <w:name w:val="Voettekst Char"/>
    <w:basedOn w:val="Standaardalinea-lettertype"/>
    <w:link w:val="Voettekst"/>
    <w:uiPriority w:val="99"/>
    <w:rsid w:val="004C19F9"/>
    <w:rPr>
      <w:rFonts w:ascii="Arial" w:hAnsi="Arial"/>
      <w:kern w:val="0"/>
      <w:sz w:val="21"/>
      <w14:ligatures w14:val="none"/>
    </w:rPr>
  </w:style>
  <w:style w:type="table" w:styleId="Gemiddeldearcering2-accent1">
    <w:name w:val="Medium Shading 2 Accent 1"/>
    <w:basedOn w:val="Standaardtabel"/>
    <w:uiPriority w:val="64"/>
    <w:rsid w:val="00A20DF9"/>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Geenafstand">
    <w:name w:val="No Spacing"/>
    <w:uiPriority w:val="1"/>
    <w:qFormat/>
    <w:rsid w:val="00900AD4"/>
    <w:pPr>
      <w:spacing w:after="0" w:line="240" w:lineRule="auto"/>
    </w:pPr>
    <w:rPr>
      <w:rFonts w:ascii="Khand" w:hAnsi="Khand"/>
      <w:color w:val="FF8200"/>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C624887921834CBDB2AA5B6AB3CADE" ma:contentTypeVersion="18" ma:contentTypeDescription="Een nieuw document maken." ma:contentTypeScope="" ma:versionID="8f8728eb8ebb63889ff19021bd740fb7">
  <xsd:schema xmlns:xsd="http://www.w3.org/2001/XMLSchema" xmlns:xs="http://www.w3.org/2001/XMLSchema" xmlns:p="http://schemas.microsoft.com/office/2006/metadata/properties" xmlns:ns2="0ac1714e-24a0-465f-b822-82078bd0ce3a" xmlns:ns3="85d24bbd-b107-4960-a7b2-524d59faa618" targetNamespace="http://schemas.microsoft.com/office/2006/metadata/properties" ma:root="true" ma:fieldsID="78bbf1aa77a58b01133645f634ebcb9a" ns2:_="" ns3:_="">
    <xsd:import namespace="0ac1714e-24a0-465f-b822-82078bd0ce3a"/>
    <xsd:import namespace="85d24bbd-b107-4960-a7b2-524d59faa6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1714e-24a0-465f-b822-82078bd0ce3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d2ffe5d-a484-4815-a2d6-9f0b51e0534b}" ma:internalName="TaxCatchAll" ma:showField="CatchAllData" ma:web="0ac1714e-24a0-465f-b822-82078bd0ce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d24bbd-b107-4960-a7b2-524d59faa61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d552b1a-d346-44be-8f17-a889abe381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ac1714e-24a0-465f-b822-82078bd0ce3a" xsi:nil="true"/>
    <lcf76f155ced4ddcb4097134ff3c332f xmlns="85d24bbd-b107-4960-a7b2-524d59faa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6A9A83-C86F-4C18-B3ED-FCCFC07B3DA1}">
  <ds:schemaRefs>
    <ds:schemaRef ds:uri="http://schemas.microsoft.com/sharepoint/v3/contenttype/forms"/>
  </ds:schemaRefs>
</ds:datastoreItem>
</file>

<file path=customXml/itemProps2.xml><?xml version="1.0" encoding="utf-8"?>
<ds:datastoreItem xmlns:ds="http://schemas.openxmlformats.org/officeDocument/2006/customXml" ds:itemID="{D53CA45F-F14B-42CF-AC3A-947DAEC6B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1714e-24a0-465f-b822-82078bd0ce3a"/>
    <ds:schemaRef ds:uri="85d24bbd-b107-4960-a7b2-524d59faa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7AF9A-4730-472F-A658-D14951ED971A}">
  <ds:schemaRefs>
    <ds:schemaRef ds:uri="http://schemas.openxmlformats.org/officeDocument/2006/bibliography"/>
  </ds:schemaRefs>
</ds:datastoreItem>
</file>

<file path=customXml/itemProps4.xml><?xml version="1.0" encoding="utf-8"?>
<ds:datastoreItem xmlns:ds="http://schemas.openxmlformats.org/officeDocument/2006/customXml" ds:itemID="{12B7E853-0C9B-4339-BA8D-190DF1D98460}">
  <ds:schemaRefs>
    <ds:schemaRef ds:uri="http://schemas.microsoft.com/office/2006/metadata/properties"/>
    <ds:schemaRef ds:uri="http://schemas.microsoft.com/office/infopath/2007/PartnerControls"/>
    <ds:schemaRef ds:uri="0ac1714e-24a0-465f-b822-82078bd0ce3a"/>
    <ds:schemaRef ds:uri="85d24bbd-b107-4960-a7b2-524d59faa618"/>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2398</Words>
  <Characters>13195</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van Pelt</dc:creator>
  <cp:keywords/>
  <dc:description/>
  <cp:lastModifiedBy>Chantal van Pelt</cp:lastModifiedBy>
  <cp:revision>5</cp:revision>
  <cp:lastPrinted>2024-08-19T09:17:00Z</cp:lastPrinted>
  <dcterms:created xsi:type="dcterms:W3CDTF">2024-09-19T06:25:00Z</dcterms:created>
  <dcterms:modified xsi:type="dcterms:W3CDTF">2024-09-19T08:36:00Z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0x0101006AC624887921834CBDB2AA5B6AB3CADE</vt:lpwstr>
  </property>
  <property fmtid="{D5CDD505-2E9C-101B-9397-08002B2CF9AE}" pid="3" name="MediaServiceImageTags">
    <vt:lpwstr/>
  </property>
</Properties>
</file>