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BC9AC" w14:textId="01FB6895" w:rsidR="00A20DF9" w:rsidRPr="005360AF" w:rsidRDefault="00A20DF9" w:rsidP="009D6520">
      <w:pPr>
        <w:jc w:val="both"/>
        <w:rPr>
          <w:rFonts w:ascii="Arial" w:hAnsi="Arial" w:cs="Arial"/>
        </w:rPr>
      </w:pPr>
      <w:r w:rsidRPr="005360AF">
        <w:rPr>
          <w:rFonts w:ascii="Arial" w:hAnsi="Arial" w:cs="Arial"/>
        </w:rPr>
        <w:t xml:space="preserve">Prinsjesdag voor u </w:t>
      </w:r>
      <w:r w:rsidR="00B81C6F" w:rsidRPr="005360AF">
        <w:rPr>
          <w:rFonts w:ascii="Arial" w:hAnsi="Arial" w:cs="Arial"/>
        </w:rPr>
        <w:t>als IB-ondernemer</w:t>
      </w:r>
    </w:p>
    <w:p w14:paraId="6C21FAF7" w14:textId="6BE197A7" w:rsidR="00B81C6F" w:rsidRPr="007D5B02" w:rsidRDefault="00B81C6F" w:rsidP="00B81C6F">
      <w:pPr>
        <w:jc w:val="both"/>
        <w:rPr>
          <w:rFonts w:ascii="Arial" w:hAnsi="Arial" w:cs="Arial"/>
          <w:color w:val="000000" w:themeColor="text1"/>
          <w:sz w:val="22"/>
        </w:rPr>
      </w:pPr>
      <w:r w:rsidRPr="007D5B02">
        <w:rPr>
          <w:rFonts w:ascii="Arial" w:hAnsi="Arial" w:cs="Arial"/>
          <w:color w:val="000000" w:themeColor="text1"/>
          <w:sz w:val="22"/>
        </w:rPr>
        <w:t>In het Belastingplan 2025 zit een groot aantal fiscale maatregelen opgenomen die ondernemers direct raken. Het aantal wijzigingen is voor ondernemers echter minder groot dan voorgaande jaren.</w:t>
      </w:r>
    </w:p>
    <w:p w14:paraId="6B68FF6E" w14:textId="4883DBA7" w:rsidR="00B81C6F" w:rsidRPr="007D5B02" w:rsidRDefault="00B81C6F" w:rsidP="00B81C6F">
      <w:pPr>
        <w:jc w:val="both"/>
        <w:rPr>
          <w:rFonts w:ascii="Arial" w:hAnsi="Arial" w:cs="Arial"/>
          <w:color w:val="000000" w:themeColor="text1"/>
          <w:sz w:val="22"/>
        </w:rPr>
      </w:pPr>
      <w:r w:rsidRPr="007D5B02">
        <w:rPr>
          <w:rFonts w:ascii="Arial" w:hAnsi="Arial" w:cs="Arial"/>
          <w:color w:val="000000" w:themeColor="text1"/>
          <w:sz w:val="22"/>
        </w:rPr>
        <w:t xml:space="preserve">In samenwerking met </w:t>
      </w:r>
      <w:proofErr w:type="spellStart"/>
      <w:r w:rsidRPr="007D5B02">
        <w:rPr>
          <w:rFonts w:ascii="Arial" w:hAnsi="Arial" w:cs="Arial"/>
          <w:color w:val="000000" w:themeColor="text1"/>
          <w:sz w:val="22"/>
        </w:rPr>
        <w:t>Marree</w:t>
      </w:r>
      <w:proofErr w:type="spellEnd"/>
      <w:r w:rsidRPr="007D5B02">
        <w:rPr>
          <w:rFonts w:ascii="Arial" w:hAnsi="Arial" w:cs="Arial"/>
          <w:color w:val="000000" w:themeColor="text1"/>
          <w:sz w:val="22"/>
        </w:rPr>
        <w:t xml:space="preserve"> &amp; Van Uunen Belastingadviseurs heeft NOAB deze notitie opgesteld, waarin de belangrijkste maatregelen voor u als IB-ondernemer aan de orde komen. Let wel, het zijn alleen zaken die specifiek over ondernemers in de inkomstenbelastingsfeer gaan. Los van deze maatregelen zijn er nog veel meer fiscale wijzigingen aangekondigd. Daarnaast zijn er vorig jaar ook al maatregelen aangekondigd, die met ingang van 2025 (of zelfs nog later) in werking treden.</w:t>
      </w:r>
    </w:p>
    <w:p w14:paraId="6E5D7197" w14:textId="77777777" w:rsidR="00B81C6F" w:rsidRPr="007D5B02" w:rsidRDefault="00B81C6F" w:rsidP="00B81C6F">
      <w:pPr>
        <w:jc w:val="both"/>
        <w:rPr>
          <w:rFonts w:ascii="Arial" w:hAnsi="Arial" w:cs="Arial"/>
          <w:color w:val="000000" w:themeColor="text1"/>
          <w:sz w:val="22"/>
        </w:rPr>
      </w:pPr>
      <w:r w:rsidRPr="007D5B02">
        <w:rPr>
          <w:rFonts w:ascii="Arial" w:hAnsi="Arial" w:cs="Arial"/>
          <w:color w:val="000000" w:themeColor="text1"/>
          <w:sz w:val="22"/>
        </w:rPr>
        <w:t>Hierbij geldt een groot voorbehoud: deze notitie is geschreven op basis van de inhoud van het Pakket Belastingplan 2025, zoals dat op 17 september 2024 bekend is gemaakt. Het kan zijn dat de definitieve uitwerking van de plannen in de uiteindelijke wetgeving nog anders wordt.</w:t>
      </w:r>
    </w:p>
    <w:p w14:paraId="11DBA598" w14:textId="77777777" w:rsidR="00B81C6F" w:rsidRPr="005360AF" w:rsidRDefault="00B81C6F" w:rsidP="00B81C6F">
      <w:pPr>
        <w:jc w:val="both"/>
        <w:rPr>
          <w:rFonts w:ascii="Arial" w:hAnsi="Arial" w:cs="Arial"/>
          <w:szCs w:val="32"/>
        </w:rPr>
      </w:pPr>
      <w:r w:rsidRPr="005360AF">
        <w:rPr>
          <w:rFonts w:ascii="Arial" w:hAnsi="Arial" w:cs="Arial"/>
          <w:szCs w:val="32"/>
        </w:rPr>
        <w:t>Zelfstandigenaftrek</w:t>
      </w:r>
    </w:p>
    <w:p w14:paraId="326C75E3" w14:textId="42AF330A" w:rsidR="00B81C6F" w:rsidRPr="007D5B02" w:rsidRDefault="00B81C6F" w:rsidP="00B81C6F">
      <w:pPr>
        <w:jc w:val="both"/>
        <w:rPr>
          <w:rFonts w:ascii="Arial" w:hAnsi="Arial" w:cs="Arial"/>
          <w:color w:val="000000" w:themeColor="text1"/>
          <w:sz w:val="22"/>
        </w:rPr>
      </w:pPr>
      <w:r w:rsidRPr="007D5B02">
        <w:rPr>
          <w:rFonts w:ascii="Arial" w:hAnsi="Arial" w:cs="Arial"/>
          <w:color w:val="000000" w:themeColor="text1"/>
          <w:sz w:val="22"/>
        </w:rPr>
        <w:t>De zelfstandigenaftrek (ZA) is een aftrekpost voor ondernemers die voldoen aan het urencriterium, dat wil zeggen als hoofdregel minstens 1225 uur per jaar in hun onderneming werkzaam zijn.</w:t>
      </w:r>
    </w:p>
    <w:p w14:paraId="61ADC6C3" w14:textId="77777777" w:rsidR="00B81C6F" w:rsidRPr="007D5B02" w:rsidRDefault="00B81C6F" w:rsidP="00B81C6F">
      <w:pPr>
        <w:jc w:val="both"/>
        <w:rPr>
          <w:rFonts w:ascii="Arial" w:hAnsi="Arial" w:cs="Arial"/>
          <w:color w:val="000000" w:themeColor="text1"/>
          <w:sz w:val="22"/>
        </w:rPr>
      </w:pPr>
      <w:r w:rsidRPr="007D5B02">
        <w:rPr>
          <w:rFonts w:ascii="Arial" w:hAnsi="Arial" w:cs="Arial"/>
          <w:color w:val="000000" w:themeColor="text1"/>
          <w:sz w:val="22"/>
        </w:rPr>
        <w:t>Eerder was al aangekondigd dat de zelfstandigenaftrek versneld wordt afgebouwd. Dit jaar (2024) werd de zelfstandigenaftrek nog € 3750, volgend jaar wordt hij volgens plan € 2470 en wordt verder afgebouwd tot € 900 in 2027. De startersaftrek blijft wel de huidige € 2.123.</w:t>
      </w:r>
    </w:p>
    <w:p w14:paraId="122333D6" w14:textId="77777777" w:rsidR="00B81C6F" w:rsidRPr="007D5B02" w:rsidRDefault="00B81C6F" w:rsidP="00B81C6F">
      <w:pPr>
        <w:pStyle w:val="Geenafstand"/>
        <w:rPr>
          <w:rFonts w:ascii="Arial" w:hAnsi="Arial" w:cs="Arial"/>
          <w:sz w:val="22"/>
          <w:lang w:eastAsia="nl-NL"/>
        </w:rPr>
      </w:pPr>
      <w:r w:rsidRPr="007D5B02">
        <w:rPr>
          <w:rFonts w:ascii="Arial" w:hAnsi="Arial" w:cs="Arial"/>
          <w:color w:val="000000" w:themeColor="text1"/>
          <w:sz w:val="22"/>
        </w:rPr>
        <w:t>In een tabel:</w:t>
      </w:r>
    </w:p>
    <w:tbl>
      <w:tblPr>
        <w:tblStyle w:val="Gemiddeldearcering2-accent1"/>
        <w:tblW w:w="0" w:type="auto"/>
        <w:tblLayout w:type="fixed"/>
        <w:tblLook w:val="04A0" w:firstRow="1" w:lastRow="0" w:firstColumn="1" w:lastColumn="0" w:noHBand="0" w:noVBand="1"/>
      </w:tblPr>
      <w:tblGrid>
        <w:gridCol w:w="1134"/>
        <w:gridCol w:w="993"/>
      </w:tblGrid>
      <w:tr w:rsidR="00B81C6F" w:rsidRPr="007D5B02" w14:paraId="00892042" w14:textId="77777777" w:rsidTr="00B81C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808080" w:themeFill="background1" w:themeFillShade="80"/>
          </w:tcPr>
          <w:p w14:paraId="3EBB1227" w14:textId="77777777" w:rsidR="00B81C6F" w:rsidRPr="007D5B02" w:rsidRDefault="00B81C6F" w:rsidP="00B81C6F">
            <w:pPr>
              <w:pStyle w:val="Geenafstand"/>
              <w:rPr>
                <w:rFonts w:ascii="Arial" w:eastAsia="Calibri" w:hAnsi="Arial" w:cs="Arial"/>
                <w:iCs/>
                <w:color w:val="FFFFFF" w:themeColor="background1"/>
                <w:sz w:val="22"/>
                <w:szCs w:val="22"/>
              </w:rPr>
            </w:pPr>
            <w:r w:rsidRPr="007D5B02">
              <w:rPr>
                <w:rFonts w:ascii="Arial" w:eastAsia="Calibri" w:hAnsi="Arial" w:cs="Arial"/>
                <w:iCs/>
                <w:color w:val="FFFFFF" w:themeColor="background1"/>
                <w:sz w:val="22"/>
                <w:szCs w:val="22"/>
              </w:rPr>
              <w:t>Jaar</w:t>
            </w:r>
          </w:p>
        </w:tc>
        <w:tc>
          <w:tcPr>
            <w:tcW w:w="993" w:type="dxa"/>
            <w:shd w:val="clear" w:color="auto" w:fill="808080" w:themeFill="background1" w:themeFillShade="80"/>
          </w:tcPr>
          <w:p w14:paraId="29B42F59" w14:textId="77777777" w:rsidR="00B81C6F" w:rsidRPr="007D5B02" w:rsidRDefault="00B81C6F" w:rsidP="00B81C6F">
            <w:pPr>
              <w:pStyle w:val="Geenafstand"/>
              <w:cnfStyle w:val="100000000000" w:firstRow="1" w:lastRow="0" w:firstColumn="0" w:lastColumn="0" w:oddVBand="0" w:evenVBand="0" w:oddHBand="0" w:evenHBand="0" w:firstRowFirstColumn="0" w:firstRowLastColumn="0" w:lastRowFirstColumn="0" w:lastRowLastColumn="0"/>
              <w:rPr>
                <w:rFonts w:ascii="Arial" w:eastAsia="Calibri" w:hAnsi="Arial" w:cs="Arial"/>
                <w:i/>
                <w:color w:val="FFFFFF" w:themeColor="background1"/>
                <w:sz w:val="22"/>
                <w:szCs w:val="22"/>
              </w:rPr>
            </w:pPr>
            <w:r w:rsidRPr="007D5B02">
              <w:rPr>
                <w:rFonts w:ascii="Arial" w:eastAsia="Calibri" w:hAnsi="Arial" w:cs="Arial"/>
                <w:i/>
                <w:color w:val="FFFFFF" w:themeColor="background1"/>
                <w:sz w:val="22"/>
                <w:szCs w:val="22"/>
              </w:rPr>
              <w:t>Aftrek</w:t>
            </w:r>
          </w:p>
        </w:tc>
      </w:tr>
      <w:tr w:rsidR="00B81C6F" w:rsidRPr="007D5B02" w14:paraId="01AFF87A" w14:textId="77777777" w:rsidTr="00B81C6F">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134" w:type="dxa"/>
            <w:shd w:val="clear" w:color="auto" w:fill="808080" w:themeFill="background1" w:themeFillShade="80"/>
          </w:tcPr>
          <w:p w14:paraId="27A73CED" w14:textId="77777777" w:rsidR="00B81C6F" w:rsidRPr="007D5B02" w:rsidRDefault="00B81C6F" w:rsidP="00B81C6F">
            <w:pPr>
              <w:pStyle w:val="Geenafstand"/>
              <w:rPr>
                <w:rFonts w:ascii="Arial" w:eastAsia="Calibri" w:hAnsi="Arial" w:cs="Arial"/>
                <w:color w:val="FFFFFF" w:themeColor="background1"/>
                <w:sz w:val="22"/>
                <w:szCs w:val="22"/>
              </w:rPr>
            </w:pPr>
            <w:r w:rsidRPr="007D5B02">
              <w:rPr>
                <w:rFonts w:ascii="Arial" w:eastAsia="Calibri" w:hAnsi="Arial" w:cs="Arial"/>
                <w:color w:val="FFFFFF" w:themeColor="background1"/>
                <w:sz w:val="22"/>
                <w:szCs w:val="22"/>
              </w:rPr>
              <w:t>2024</w:t>
            </w:r>
          </w:p>
        </w:tc>
        <w:tc>
          <w:tcPr>
            <w:tcW w:w="993" w:type="dxa"/>
            <w:shd w:val="clear" w:color="auto" w:fill="auto"/>
          </w:tcPr>
          <w:p w14:paraId="55D9055F" w14:textId="77777777" w:rsidR="00B81C6F" w:rsidRPr="007D5B02" w:rsidRDefault="00B81C6F" w:rsidP="00B81C6F">
            <w:pPr>
              <w:pStyle w:val="Geenafstand"/>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r w:rsidRPr="007D5B02">
              <w:rPr>
                <w:rFonts w:ascii="Arial" w:eastAsia="Calibri" w:hAnsi="Arial" w:cs="Arial"/>
                <w:color w:val="auto"/>
                <w:sz w:val="22"/>
                <w:szCs w:val="22"/>
              </w:rPr>
              <w:t>3.750</w:t>
            </w:r>
          </w:p>
        </w:tc>
      </w:tr>
      <w:tr w:rsidR="00B81C6F" w:rsidRPr="007D5B02" w14:paraId="2D0388C0" w14:textId="77777777" w:rsidTr="00B81C6F">
        <w:tc>
          <w:tcPr>
            <w:cnfStyle w:val="001000000000" w:firstRow="0" w:lastRow="0" w:firstColumn="1" w:lastColumn="0" w:oddVBand="0" w:evenVBand="0" w:oddHBand="0" w:evenHBand="0" w:firstRowFirstColumn="0" w:firstRowLastColumn="0" w:lastRowFirstColumn="0" w:lastRowLastColumn="0"/>
            <w:tcW w:w="1134" w:type="dxa"/>
            <w:shd w:val="clear" w:color="auto" w:fill="808080" w:themeFill="background1" w:themeFillShade="80"/>
          </w:tcPr>
          <w:p w14:paraId="56DC0BC7" w14:textId="77777777" w:rsidR="00B81C6F" w:rsidRPr="007D5B02" w:rsidRDefault="00B81C6F" w:rsidP="00B81C6F">
            <w:pPr>
              <w:pStyle w:val="Geenafstand"/>
              <w:rPr>
                <w:rFonts w:ascii="Arial" w:eastAsia="Calibri" w:hAnsi="Arial" w:cs="Arial"/>
                <w:color w:val="FFFFFF" w:themeColor="background1"/>
                <w:sz w:val="22"/>
                <w:szCs w:val="22"/>
              </w:rPr>
            </w:pPr>
            <w:r w:rsidRPr="007D5B02">
              <w:rPr>
                <w:rFonts w:ascii="Arial" w:eastAsia="Calibri" w:hAnsi="Arial" w:cs="Arial"/>
                <w:color w:val="FFFFFF" w:themeColor="background1"/>
                <w:sz w:val="22"/>
                <w:szCs w:val="22"/>
              </w:rPr>
              <w:t>2025</w:t>
            </w:r>
          </w:p>
        </w:tc>
        <w:tc>
          <w:tcPr>
            <w:tcW w:w="993" w:type="dxa"/>
            <w:shd w:val="clear" w:color="auto" w:fill="D8D8D8"/>
          </w:tcPr>
          <w:p w14:paraId="52BCB89F" w14:textId="77777777" w:rsidR="00B81C6F" w:rsidRPr="007D5B02" w:rsidRDefault="00B81C6F" w:rsidP="00B81C6F">
            <w:pPr>
              <w:pStyle w:val="Geenafstand"/>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2"/>
                <w:szCs w:val="22"/>
              </w:rPr>
            </w:pPr>
            <w:r w:rsidRPr="007D5B02">
              <w:rPr>
                <w:rFonts w:ascii="Arial" w:eastAsia="Calibri" w:hAnsi="Arial" w:cs="Arial"/>
                <w:color w:val="auto"/>
                <w:sz w:val="22"/>
                <w:szCs w:val="22"/>
              </w:rPr>
              <w:t>2.470</w:t>
            </w:r>
          </w:p>
        </w:tc>
      </w:tr>
      <w:tr w:rsidR="00B81C6F" w:rsidRPr="007D5B02" w14:paraId="58125033" w14:textId="77777777" w:rsidTr="00B81C6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134" w:type="dxa"/>
            <w:shd w:val="clear" w:color="auto" w:fill="808080" w:themeFill="background1" w:themeFillShade="80"/>
          </w:tcPr>
          <w:p w14:paraId="7BA1F12F" w14:textId="77777777" w:rsidR="00B81C6F" w:rsidRPr="007D5B02" w:rsidRDefault="00B81C6F" w:rsidP="00B81C6F">
            <w:pPr>
              <w:pStyle w:val="Geenafstand"/>
              <w:rPr>
                <w:rFonts w:ascii="Arial" w:eastAsia="Calibri" w:hAnsi="Arial" w:cs="Arial"/>
                <w:color w:val="FFFFFF" w:themeColor="background1"/>
                <w:sz w:val="22"/>
                <w:szCs w:val="22"/>
              </w:rPr>
            </w:pPr>
            <w:r w:rsidRPr="007D5B02">
              <w:rPr>
                <w:rFonts w:ascii="Arial" w:eastAsia="Calibri" w:hAnsi="Arial" w:cs="Arial"/>
                <w:color w:val="FFFFFF" w:themeColor="background1"/>
                <w:sz w:val="22"/>
                <w:szCs w:val="22"/>
              </w:rPr>
              <w:t>2026</w:t>
            </w:r>
          </w:p>
        </w:tc>
        <w:tc>
          <w:tcPr>
            <w:tcW w:w="993" w:type="dxa"/>
            <w:shd w:val="clear" w:color="auto" w:fill="auto"/>
          </w:tcPr>
          <w:p w14:paraId="0EAE8433" w14:textId="77777777" w:rsidR="00B81C6F" w:rsidRPr="007D5B02" w:rsidRDefault="00B81C6F" w:rsidP="00B81C6F">
            <w:pPr>
              <w:pStyle w:val="Geenafstand"/>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2"/>
                <w:szCs w:val="22"/>
              </w:rPr>
            </w:pPr>
            <w:r w:rsidRPr="007D5B02">
              <w:rPr>
                <w:rFonts w:ascii="Arial" w:eastAsia="Calibri" w:hAnsi="Arial" w:cs="Arial"/>
                <w:color w:val="auto"/>
                <w:sz w:val="22"/>
                <w:szCs w:val="22"/>
              </w:rPr>
              <w:t>1.200</w:t>
            </w:r>
          </w:p>
        </w:tc>
      </w:tr>
      <w:tr w:rsidR="00B81C6F" w:rsidRPr="007D5B02" w14:paraId="436E0AFA" w14:textId="77777777" w:rsidTr="00B81C6F">
        <w:tc>
          <w:tcPr>
            <w:cnfStyle w:val="001000000000" w:firstRow="0" w:lastRow="0" w:firstColumn="1" w:lastColumn="0" w:oddVBand="0" w:evenVBand="0" w:oddHBand="0" w:evenHBand="0" w:firstRowFirstColumn="0" w:firstRowLastColumn="0" w:lastRowFirstColumn="0" w:lastRowLastColumn="0"/>
            <w:tcW w:w="1134" w:type="dxa"/>
            <w:shd w:val="clear" w:color="auto" w:fill="808080" w:themeFill="background1" w:themeFillShade="80"/>
          </w:tcPr>
          <w:p w14:paraId="519B8CCB" w14:textId="77777777" w:rsidR="00B81C6F" w:rsidRPr="007D5B02" w:rsidRDefault="00B81C6F" w:rsidP="00B81C6F">
            <w:pPr>
              <w:pStyle w:val="Geenafstand"/>
              <w:rPr>
                <w:rFonts w:ascii="Arial" w:eastAsia="Calibri" w:hAnsi="Arial" w:cs="Arial"/>
                <w:color w:val="FFFFFF" w:themeColor="background1"/>
                <w:sz w:val="22"/>
                <w:szCs w:val="22"/>
              </w:rPr>
            </w:pPr>
            <w:r w:rsidRPr="007D5B02">
              <w:rPr>
                <w:rFonts w:ascii="Arial" w:eastAsia="Calibri" w:hAnsi="Arial" w:cs="Arial"/>
                <w:color w:val="FFFFFF" w:themeColor="background1"/>
                <w:sz w:val="22"/>
                <w:szCs w:val="22"/>
              </w:rPr>
              <w:t>v.a. 2027</w:t>
            </w:r>
          </w:p>
        </w:tc>
        <w:tc>
          <w:tcPr>
            <w:tcW w:w="993" w:type="dxa"/>
            <w:shd w:val="clear" w:color="auto" w:fill="D8D8D8"/>
          </w:tcPr>
          <w:p w14:paraId="57752089" w14:textId="77777777" w:rsidR="00B81C6F" w:rsidRPr="007D5B02" w:rsidRDefault="00B81C6F" w:rsidP="00B81C6F">
            <w:pPr>
              <w:pStyle w:val="Geenafstand"/>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2"/>
                <w:szCs w:val="22"/>
              </w:rPr>
            </w:pPr>
            <w:r w:rsidRPr="007D5B02">
              <w:rPr>
                <w:rFonts w:ascii="Arial" w:eastAsia="Calibri" w:hAnsi="Arial" w:cs="Arial"/>
                <w:color w:val="auto"/>
                <w:sz w:val="22"/>
                <w:szCs w:val="22"/>
              </w:rPr>
              <w:t>900</w:t>
            </w:r>
          </w:p>
        </w:tc>
      </w:tr>
    </w:tbl>
    <w:p w14:paraId="62A77D97" w14:textId="032AC18B" w:rsidR="00B81C6F" w:rsidRPr="00B81C6F" w:rsidRDefault="00B81C6F" w:rsidP="00B81C6F">
      <w:pPr>
        <w:spacing w:before="0" w:after="0" w:line="264" w:lineRule="auto"/>
        <w:rPr>
          <w:rFonts w:ascii="Arial" w:eastAsia="Calibri" w:hAnsi="Arial" w:cs="Arial"/>
          <w:color w:val="auto"/>
          <w:sz w:val="22"/>
        </w:rPr>
      </w:pPr>
      <w:r w:rsidRPr="007D5B02">
        <w:rPr>
          <w:rFonts w:ascii="Arial" w:eastAsia="Calibri" w:hAnsi="Arial" w:cs="Arial"/>
          <w:color w:val="auto"/>
          <w:sz w:val="22"/>
        </w:rPr>
        <w:br/>
      </w:r>
      <w:r w:rsidRPr="00B81C6F">
        <w:rPr>
          <w:rFonts w:ascii="Arial" w:eastAsia="Calibri" w:hAnsi="Arial" w:cs="Arial"/>
          <w:color w:val="auto"/>
          <w:sz w:val="22"/>
        </w:rPr>
        <w:t>Wat betekent dat concreet voor u:</w:t>
      </w:r>
    </w:p>
    <w:p w14:paraId="21489BDA" w14:textId="77777777" w:rsidR="00B81C6F" w:rsidRPr="007D5B02" w:rsidRDefault="00B81C6F" w:rsidP="00B81C6F">
      <w:pPr>
        <w:pStyle w:val="Lijstalinea"/>
        <w:numPr>
          <w:ilvl w:val="0"/>
          <w:numId w:val="5"/>
        </w:numPr>
        <w:spacing w:after="0" w:line="264" w:lineRule="auto"/>
        <w:rPr>
          <w:rFonts w:eastAsia="Calibri" w:cs="Arial"/>
          <w:sz w:val="22"/>
        </w:rPr>
      </w:pPr>
      <w:r w:rsidRPr="007D5B02">
        <w:rPr>
          <w:rFonts w:eastAsia="Calibri" w:cs="Arial"/>
          <w:sz w:val="22"/>
        </w:rPr>
        <w:t>door de daling van de zelfstandigenaftrek stijgt uw fiscale winst de komende jaren;</w:t>
      </w:r>
    </w:p>
    <w:p w14:paraId="1BBD0C28" w14:textId="0B7EF9FA" w:rsidR="00B81C6F" w:rsidRPr="007D5B02" w:rsidRDefault="00B81C6F" w:rsidP="00B81C6F">
      <w:pPr>
        <w:pStyle w:val="Lijstalinea"/>
        <w:numPr>
          <w:ilvl w:val="0"/>
          <w:numId w:val="5"/>
        </w:numPr>
        <w:spacing w:after="0" w:line="264" w:lineRule="auto"/>
        <w:rPr>
          <w:rFonts w:eastAsia="Calibri" w:cs="Arial"/>
          <w:sz w:val="22"/>
        </w:rPr>
      </w:pPr>
      <w:r w:rsidRPr="007D5B02">
        <w:rPr>
          <w:rFonts w:eastAsia="Calibri" w:cs="Arial"/>
          <w:sz w:val="22"/>
        </w:rPr>
        <w:t>door de stijging van de fiscale winst wordt u meer box 1-heffing verschuldigd.</w:t>
      </w:r>
    </w:p>
    <w:p w14:paraId="3E881BDE" w14:textId="77777777" w:rsidR="00B81C6F" w:rsidRPr="00B81C6F" w:rsidRDefault="00B81C6F" w:rsidP="00B81C6F">
      <w:pPr>
        <w:keepNext/>
        <w:keepLines/>
        <w:spacing w:before="360" w:after="120" w:line="259" w:lineRule="auto"/>
        <w:outlineLvl w:val="0"/>
        <w:rPr>
          <w:rFonts w:ascii="Arial" w:eastAsia="Times New Roman" w:hAnsi="Arial" w:cs="Arial"/>
          <w:szCs w:val="32"/>
        </w:rPr>
      </w:pPr>
      <w:r w:rsidRPr="00B81C6F">
        <w:rPr>
          <w:rFonts w:ascii="Arial" w:eastAsia="Times New Roman" w:hAnsi="Arial" w:cs="Arial"/>
          <w:szCs w:val="32"/>
        </w:rPr>
        <w:t xml:space="preserve">Mkb-winstvrijstelling </w:t>
      </w:r>
    </w:p>
    <w:p w14:paraId="06A1FC7A"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De mkb-winstvrijstelling is een vrijstelling die alle IB-ondernemers krijgen, ongeacht of ze voldoen aan het urencriterium of niet. De aftrek bedroeg tot en met 2023 nog 14% van de winst, maar was in 2024 al teruggebracht naar 13,31% van de winst. De vrijstelling wordt vanaf 2025 verder teruggebracht naar 12,7%.</w:t>
      </w:r>
    </w:p>
    <w:p w14:paraId="0F5F8C38" w14:textId="77777777" w:rsidR="00B81C6F" w:rsidRPr="00B81C6F" w:rsidRDefault="00B81C6F" w:rsidP="00B81C6F">
      <w:pPr>
        <w:spacing w:before="0" w:after="0" w:line="264" w:lineRule="auto"/>
        <w:rPr>
          <w:rFonts w:ascii="Arial" w:eastAsia="Calibri" w:hAnsi="Arial" w:cs="Arial"/>
          <w:color w:val="auto"/>
          <w:sz w:val="24"/>
          <w:szCs w:val="24"/>
        </w:rPr>
      </w:pPr>
    </w:p>
    <w:p w14:paraId="5F930726"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Dat betekent dat de belastingheffing over uw winst uit onderneming effectief stijgt.</w:t>
      </w:r>
    </w:p>
    <w:p w14:paraId="38056B3C" w14:textId="77777777" w:rsidR="00B81C6F" w:rsidRPr="00B81C6F" w:rsidRDefault="00B81C6F" w:rsidP="00B81C6F">
      <w:pPr>
        <w:keepNext/>
        <w:keepLines/>
        <w:spacing w:before="360" w:after="120" w:line="259" w:lineRule="auto"/>
        <w:outlineLvl w:val="0"/>
        <w:rPr>
          <w:rFonts w:ascii="Arial" w:eastAsia="Times New Roman" w:hAnsi="Arial" w:cs="Arial"/>
          <w:szCs w:val="32"/>
        </w:rPr>
      </w:pPr>
      <w:r w:rsidRPr="00B81C6F">
        <w:rPr>
          <w:rFonts w:ascii="Arial" w:eastAsia="Times New Roman" w:hAnsi="Arial" w:cs="Arial"/>
          <w:szCs w:val="32"/>
        </w:rPr>
        <w:t>Tarief inkomstenbelasting box 1</w:t>
      </w:r>
    </w:p>
    <w:p w14:paraId="42EFAD0C" w14:textId="77777777" w:rsidR="00B81C6F" w:rsidRPr="00B81C6F" w:rsidRDefault="00B81C6F" w:rsidP="00B81C6F">
      <w:pPr>
        <w:spacing w:before="0" w:after="0" w:line="264" w:lineRule="auto"/>
        <w:rPr>
          <w:rFonts w:ascii="Arial" w:eastAsia="Calibri" w:hAnsi="Arial" w:cs="Arial"/>
          <w:color w:val="auto"/>
          <w:sz w:val="22"/>
        </w:rPr>
      </w:pPr>
      <w:bookmarkStart w:id="0" w:name="_Hlk146122580"/>
      <w:r w:rsidRPr="00B81C6F">
        <w:rPr>
          <w:rFonts w:ascii="Arial" w:eastAsia="Calibri" w:hAnsi="Arial" w:cs="Arial"/>
          <w:color w:val="auto"/>
          <w:sz w:val="22"/>
        </w:rPr>
        <w:t>Het inkomstenbelastingtarief in box 1, waarin uw winst uit onderneming wordt belast, wordt anders. Tot en met 2024 kende box 1 twee belastingschijven, vanaf 2025 wordt het er drie. De lage box 1-schijf uit 2024 is gesplitst over twee schijven. De nieuwe eerste schijf is wat lager dan de oude eerste schijf, de nieuwe tweede schijf is wat hoger dan de oude eerste schijf.</w:t>
      </w:r>
    </w:p>
    <w:p w14:paraId="7FCE6D70" w14:textId="77777777" w:rsidR="00B81C6F" w:rsidRPr="00B81C6F" w:rsidRDefault="00B81C6F" w:rsidP="00B81C6F">
      <w:pPr>
        <w:spacing w:before="0" w:after="0" w:line="264" w:lineRule="auto"/>
        <w:rPr>
          <w:rFonts w:ascii="Arial" w:eastAsia="Calibri" w:hAnsi="Arial" w:cs="Arial"/>
          <w:color w:val="auto"/>
          <w:sz w:val="22"/>
        </w:rPr>
      </w:pPr>
    </w:p>
    <w:p w14:paraId="2D4957DA"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Het effect is dat lagere inkomens wat minder inkomstenbelasting gaan betalen en hogere inkomens wat meer.</w:t>
      </w:r>
    </w:p>
    <w:p w14:paraId="71BC0AE7" w14:textId="77777777" w:rsidR="00B81C6F" w:rsidRPr="00B81C6F" w:rsidRDefault="00B81C6F" w:rsidP="00B81C6F">
      <w:pPr>
        <w:spacing w:before="0" w:after="0" w:line="264" w:lineRule="auto"/>
        <w:rPr>
          <w:rFonts w:ascii="Arial" w:eastAsia="Calibri" w:hAnsi="Arial" w:cs="Arial"/>
          <w:color w:val="auto"/>
          <w:sz w:val="22"/>
        </w:rPr>
      </w:pPr>
    </w:p>
    <w:p w14:paraId="55FB2F69" w14:textId="77777777" w:rsidR="00B81C6F" w:rsidRPr="00B81C6F" w:rsidRDefault="00B81C6F" w:rsidP="00B81C6F">
      <w:pPr>
        <w:spacing w:before="0" w:after="120" w:line="264" w:lineRule="auto"/>
        <w:rPr>
          <w:rFonts w:ascii="Arial" w:eastAsia="Calibri" w:hAnsi="Arial" w:cs="Arial"/>
          <w:color w:val="auto"/>
          <w:sz w:val="22"/>
        </w:rPr>
      </w:pPr>
      <w:r w:rsidRPr="00B81C6F">
        <w:rPr>
          <w:rFonts w:ascii="Arial" w:eastAsia="Calibri" w:hAnsi="Arial" w:cs="Arial"/>
          <w:color w:val="auto"/>
          <w:sz w:val="22"/>
        </w:rPr>
        <w:t>De tarieven bedragen over 2025 als volgt:</w:t>
      </w:r>
    </w:p>
    <w:tbl>
      <w:tblPr>
        <w:tblStyle w:val="Gemiddeldearcering2-accent1"/>
        <w:tblW w:w="0" w:type="auto"/>
        <w:tblLook w:val="04A0" w:firstRow="1" w:lastRow="0" w:firstColumn="1" w:lastColumn="0" w:noHBand="0" w:noVBand="1"/>
      </w:tblPr>
      <w:tblGrid>
        <w:gridCol w:w="1276"/>
        <w:gridCol w:w="1276"/>
        <w:gridCol w:w="1276"/>
      </w:tblGrid>
      <w:tr w:rsidR="00B81C6F" w:rsidRPr="007D5B02" w14:paraId="3C40D6FD" w14:textId="77777777" w:rsidTr="00B81C6F">
        <w:trPr>
          <w:cnfStyle w:val="100000000000" w:firstRow="1" w:lastRow="0" w:firstColumn="0" w:lastColumn="0" w:oddVBand="0" w:evenVBand="0" w:oddHBand="0" w:evenHBand="0" w:firstRowFirstColumn="0" w:firstRowLastColumn="0" w:lastRowFirstColumn="0" w:lastRowLastColumn="0"/>
          <w:trHeight w:val="252"/>
        </w:trPr>
        <w:tc>
          <w:tcPr>
            <w:cnfStyle w:val="001000000100" w:firstRow="0" w:lastRow="0" w:firstColumn="1" w:lastColumn="0" w:oddVBand="0" w:evenVBand="0" w:oddHBand="0" w:evenHBand="0" w:firstRowFirstColumn="1" w:firstRowLastColumn="0" w:lastRowFirstColumn="0" w:lastRowLastColumn="0"/>
            <w:tcW w:w="2552" w:type="dxa"/>
            <w:gridSpan w:val="2"/>
            <w:tcBorders>
              <w:bottom w:val="nil"/>
            </w:tcBorders>
            <w:shd w:val="clear" w:color="auto" w:fill="808080" w:themeFill="background1" w:themeFillShade="80"/>
          </w:tcPr>
          <w:p w14:paraId="2056B3C7" w14:textId="77777777" w:rsidR="00B81C6F" w:rsidRPr="00B81C6F" w:rsidRDefault="00B81C6F" w:rsidP="00B81C6F">
            <w:pPr>
              <w:spacing w:before="0" w:after="0" w:line="264" w:lineRule="auto"/>
              <w:jc w:val="right"/>
              <w:rPr>
                <w:rFonts w:ascii="Arial" w:hAnsi="Arial" w:cs="Arial"/>
                <w:iCs/>
                <w:color w:val="FFFFFF"/>
                <w:sz w:val="22"/>
                <w:szCs w:val="22"/>
              </w:rPr>
            </w:pPr>
            <w:r w:rsidRPr="00B81C6F">
              <w:rPr>
                <w:rFonts w:ascii="Arial" w:hAnsi="Arial" w:cs="Arial"/>
                <w:iCs/>
                <w:color w:val="FFFFFF"/>
                <w:sz w:val="22"/>
                <w:szCs w:val="22"/>
              </w:rPr>
              <w:t>Box 1-inkomen</w:t>
            </w:r>
          </w:p>
        </w:tc>
        <w:tc>
          <w:tcPr>
            <w:tcW w:w="1276" w:type="dxa"/>
            <w:vMerge w:val="restart"/>
            <w:shd w:val="clear" w:color="auto" w:fill="808080" w:themeFill="background1" w:themeFillShade="80"/>
          </w:tcPr>
          <w:p w14:paraId="393B8A99" w14:textId="77777777" w:rsidR="00B81C6F" w:rsidRPr="00B81C6F" w:rsidRDefault="00B81C6F" w:rsidP="00B81C6F">
            <w:pPr>
              <w:spacing w:before="0" w:after="0"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iCs/>
                <w:color w:val="FFFFFF"/>
                <w:sz w:val="22"/>
                <w:szCs w:val="22"/>
              </w:rPr>
            </w:pPr>
            <w:r w:rsidRPr="00B81C6F">
              <w:rPr>
                <w:rFonts w:ascii="Arial" w:hAnsi="Arial" w:cs="Arial"/>
                <w:iCs/>
                <w:color w:val="FFFFFF"/>
                <w:sz w:val="22"/>
                <w:szCs w:val="22"/>
              </w:rPr>
              <w:t>IB/PH</w:t>
            </w:r>
          </w:p>
        </w:tc>
      </w:tr>
      <w:tr w:rsidR="00B81C6F" w:rsidRPr="007D5B02" w14:paraId="142E5F1A" w14:textId="77777777" w:rsidTr="00B81C6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76" w:type="dxa"/>
            <w:tcBorders>
              <w:bottom w:val="single" w:sz="18" w:space="0" w:color="auto"/>
            </w:tcBorders>
            <w:shd w:val="clear" w:color="auto" w:fill="808080" w:themeFill="background1" w:themeFillShade="80"/>
          </w:tcPr>
          <w:p w14:paraId="1E8485B9" w14:textId="77777777" w:rsidR="00B81C6F" w:rsidRPr="00B81C6F" w:rsidRDefault="00B81C6F" w:rsidP="00B81C6F">
            <w:pPr>
              <w:spacing w:before="0" w:after="0" w:line="264" w:lineRule="auto"/>
              <w:jc w:val="right"/>
              <w:rPr>
                <w:rFonts w:ascii="Arial" w:hAnsi="Arial" w:cs="Arial"/>
                <w:iCs/>
                <w:color w:val="FFFFFF"/>
                <w:sz w:val="22"/>
                <w:szCs w:val="22"/>
              </w:rPr>
            </w:pPr>
            <w:r w:rsidRPr="00B81C6F">
              <w:rPr>
                <w:rFonts w:ascii="Arial" w:hAnsi="Arial" w:cs="Arial"/>
                <w:iCs/>
                <w:color w:val="FFFFFF"/>
                <w:sz w:val="22"/>
                <w:szCs w:val="22"/>
              </w:rPr>
              <w:t>van</w:t>
            </w:r>
          </w:p>
        </w:tc>
        <w:tc>
          <w:tcPr>
            <w:tcW w:w="1276" w:type="dxa"/>
            <w:tcBorders>
              <w:top w:val="nil"/>
              <w:bottom w:val="single" w:sz="18" w:space="0" w:color="auto"/>
            </w:tcBorders>
            <w:shd w:val="clear" w:color="auto" w:fill="808080" w:themeFill="background1" w:themeFillShade="80"/>
          </w:tcPr>
          <w:p w14:paraId="5D0ACD91" w14:textId="77777777" w:rsidR="00B81C6F" w:rsidRPr="00B81C6F" w:rsidRDefault="00B81C6F" w:rsidP="00B81C6F">
            <w:pPr>
              <w:spacing w:before="0" w:after="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iCs/>
                <w:color w:val="auto"/>
                <w:sz w:val="22"/>
                <w:szCs w:val="22"/>
              </w:rPr>
            </w:pPr>
            <w:r w:rsidRPr="00B81C6F">
              <w:rPr>
                <w:rFonts w:ascii="Arial" w:hAnsi="Arial" w:cs="Arial"/>
                <w:b/>
                <w:iCs/>
                <w:color w:val="FFFFFF"/>
                <w:sz w:val="22"/>
                <w:szCs w:val="22"/>
              </w:rPr>
              <w:t>tot</w:t>
            </w:r>
          </w:p>
        </w:tc>
        <w:tc>
          <w:tcPr>
            <w:tcW w:w="1276" w:type="dxa"/>
            <w:vMerge/>
            <w:tcBorders>
              <w:bottom w:val="single" w:sz="18" w:space="0" w:color="auto"/>
            </w:tcBorders>
            <w:shd w:val="clear" w:color="auto" w:fill="4472C4"/>
          </w:tcPr>
          <w:p w14:paraId="027D18D5" w14:textId="77777777" w:rsidR="00B81C6F" w:rsidRPr="00B81C6F" w:rsidRDefault="00B81C6F" w:rsidP="00B81C6F">
            <w:pPr>
              <w:spacing w:before="0" w:after="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2"/>
                <w:szCs w:val="22"/>
              </w:rPr>
            </w:pPr>
          </w:p>
        </w:tc>
      </w:tr>
      <w:tr w:rsidR="00B81C6F" w:rsidRPr="00B81C6F" w14:paraId="2788DB84" w14:textId="77777777" w:rsidTr="00B81C6F">
        <w:tc>
          <w:tcPr>
            <w:cnfStyle w:val="001000000000" w:firstRow="0" w:lastRow="0" w:firstColumn="1" w:lastColumn="0" w:oddVBand="0" w:evenVBand="0" w:oddHBand="0" w:evenHBand="0" w:firstRowFirstColumn="0" w:firstRowLastColumn="0" w:lastRowFirstColumn="0" w:lastRowLastColumn="0"/>
            <w:tcW w:w="1276" w:type="dxa"/>
            <w:shd w:val="clear" w:color="auto" w:fill="808080" w:themeFill="background1" w:themeFillShade="80"/>
          </w:tcPr>
          <w:p w14:paraId="52031302" w14:textId="77777777" w:rsidR="00B81C6F" w:rsidRPr="00B81C6F" w:rsidRDefault="00B81C6F" w:rsidP="00B81C6F">
            <w:pPr>
              <w:spacing w:before="0" w:after="0" w:line="264" w:lineRule="auto"/>
              <w:jc w:val="right"/>
              <w:rPr>
                <w:rFonts w:ascii="Arial" w:hAnsi="Arial" w:cs="Arial"/>
                <w:color w:val="FFFFFF"/>
                <w:sz w:val="22"/>
                <w:szCs w:val="22"/>
              </w:rPr>
            </w:pPr>
            <w:r w:rsidRPr="00B81C6F">
              <w:rPr>
                <w:rFonts w:ascii="Arial" w:hAnsi="Arial" w:cs="Arial"/>
                <w:color w:val="FFFFFF"/>
                <w:kern w:val="24"/>
                <w:sz w:val="22"/>
                <w:szCs w:val="22"/>
                <w:lang w:val="pt-BR"/>
              </w:rPr>
              <w:t>-</w:t>
            </w:r>
          </w:p>
        </w:tc>
        <w:tc>
          <w:tcPr>
            <w:tcW w:w="1276" w:type="dxa"/>
            <w:shd w:val="clear" w:color="auto" w:fill="808080" w:themeFill="background1" w:themeFillShade="80"/>
          </w:tcPr>
          <w:p w14:paraId="5AFD04CC" w14:textId="77777777" w:rsidR="00B81C6F" w:rsidRPr="00B81C6F" w:rsidRDefault="00B81C6F" w:rsidP="00B81C6F">
            <w:pPr>
              <w:spacing w:before="0" w:after="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2"/>
                <w:szCs w:val="22"/>
              </w:rPr>
            </w:pPr>
            <w:r w:rsidRPr="00B81C6F">
              <w:rPr>
                <w:rFonts w:ascii="Arial" w:hAnsi="Arial" w:cs="Arial"/>
                <w:b/>
                <w:bCs/>
                <w:color w:val="FFFFFF"/>
                <w:kern w:val="24"/>
                <w:sz w:val="22"/>
                <w:szCs w:val="22"/>
                <w:lang w:val="pt-BR"/>
              </w:rPr>
              <w:t>€ 38.441</w:t>
            </w:r>
          </w:p>
        </w:tc>
        <w:tc>
          <w:tcPr>
            <w:tcW w:w="1276" w:type="dxa"/>
          </w:tcPr>
          <w:p w14:paraId="37ADF47B" w14:textId="77777777" w:rsidR="00B81C6F" w:rsidRPr="00B81C6F" w:rsidRDefault="00B81C6F" w:rsidP="00B81C6F">
            <w:pPr>
              <w:spacing w:before="0" w:after="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B81C6F">
              <w:rPr>
                <w:rFonts w:ascii="Arial" w:hAnsi="Arial" w:cs="Arial"/>
                <w:color w:val="000000"/>
                <w:kern w:val="24"/>
                <w:sz w:val="22"/>
                <w:szCs w:val="22"/>
                <w:lang w:val="pt-BR"/>
              </w:rPr>
              <w:t>35,82%</w:t>
            </w:r>
          </w:p>
        </w:tc>
      </w:tr>
      <w:tr w:rsidR="007D5B02" w:rsidRPr="00B81C6F" w14:paraId="01685957" w14:textId="77777777" w:rsidTr="00B81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808080" w:themeFill="background1" w:themeFillShade="80"/>
          </w:tcPr>
          <w:p w14:paraId="485A1FB5" w14:textId="77777777" w:rsidR="00B81C6F" w:rsidRPr="00B81C6F" w:rsidRDefault="00B81C6F" w:rsidP="00B81C6F">
            <w:pPr>
              <w:spacing w:before="0" w:after="0" w:line="264" w:lineRule="auto"/>
              <w:jc w:val="right"/>
              <w:rPr>
                <w:rFonts w:ascii="Arial" w:hAnsi="Arial" w:cs="Arial"/>
                <w:color w:val="FFFFFF"/>
                <w:sz w:val="22"/>
                <w:szCs w:val="22"/>
              </w:rPr>
            </w:pPr>
            <w:r w:rsidRPr="00B81C6F">
              <w:rPr>
                <w:rFonts w:ascii="Arial" w:hAnsi="Arial" w:cs="Arial"/>
                <w:color w:val="FFFFFF"/>
                <w:kern w:val="24"/>
                <w:sz w:val="22"/>
                <w:szCs w:val="22"/>
                <w:lang w:val="pt-BR"/>
              </w:rPr>
              <w:t>€ 38.441</w:t>
            </w:r>
          </w:p>
        </w:tc>
        <w:tc>
          <w:tcPr>
            <w:tcW w:w="1276" w:type="dxa"/>
            <w:shd w:val="clear" w:color="auto" w:fill="808080" w:themeFill="background1" w:themeFillShade="80"/>
          </w:tcPr>
          <w:p w14:paraId="447F4AE7" w14:textId="77777777" w:rsidR="00B81C6F" w:rsidRPr="00B81C6F" w:rsidRDefault="00B81C6F" w:rsidP="00B81C6F">
            <w:pPr>
              <w:spacing w:before="0" w:after="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sz w:val="22"/>
                <w:szCs w:val="22"/>
              </w:rPr>
            </w:pPr>
            <w:r w:rsidRPr="00B81C6F">
              <w:rPr>
                <w:rFonts w:ascii="Arial" w:hAnsi="Arial" w:cs="Arial"/>
                <w:b/>
                <w:bCs/>
                <w:color w:val="FFFFFF"/>
                <w:kern w:val="24"/>
                <w:sz w:val="22"/>
                <w:szCs w:val="22"/>
              </w:rPr>
              <w:t>€ 76.816</w:t>
            </w:r>
          </w:p>
        </w:tc>
        <w:tc>
          <w:tcPr>
            <w:tcW w:w="1276" w:type="dxa"/>
          </w:tcPr>
          <w:p w14:paraId="62696C30" w14:textId="77777777" w:rsidR="00B81C6F" w:rsidRPr="00B81C6F" w:rsidRDefault="00B81C6F" w:rsidP="00B81C6F">
            <w:pPr>
              <w:spacing w:before="0" w:after="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B81C6F">
              <w:rPr>
                <w:rFonts w:ascii="Arial" w:hAnsi="Arial" w:cs="Arial"/>
                <w:color w:val="000000"/>
                <w:kern w:val="24"/>
                <w:sz w:val="22"/>
                <w:szCs w:val="22"/>
              </w:rPr>
              <w:t>37,48%</w:t>
            </w:r>
          </w:p>
        </w:tc>
      </w:tr>
      <w:tr w:rsidR="007D5B02" w:rsidRPr="00B81C6F" w14:paraId="2EA80CC7" w14:textId="77777777" w:rsidTr="00B81C6F">
        <w:tc>
          <w:tcPr>
            <w:cnfStyle w:val="001000000000" w:firstRow="0" w:lastRow="0" w:firstColumn="1" w:lastColumn="0" w:oddVBand="0" w:evenVBand="0" w:oddHBand="0" w:evenHBand="0" w:firstRowFirstColumn="0" w:firstRowLastColumn="0" w:lastRowFirstColumn="0" w:lastRowLastColumn="0"/>
            <w:tcW w:w="1276" w:type="dxa"/>
            <w:shd w:val="clear" w:color="auto" w:fill="808080" w:themeFill="background1" w:themeFillShade="80"/>
          </w:tcPr>
          <w:p w14:paraId="1B38014D" w14:textId="77777777" w:rsidR="00B81C6F" w:rsidRPr="00B81C6F" w:rsidRDefault="00B81C6F" w:rsidP="00B81C6F">
            <w:pPr>
              <w:spacing w:before="0" w:after="0" w:line="264" w:lineRule="auto"/>
              <w:jc w:val="right"/>
              <w:rPr>
                <w:rFonts w:ascii="Arial" w:hAnsi="Arial" w:cs="Arial"/>
                <w:color w:val="FFFFFF"/>
                <w:sz w:val="22"/>
                <w:szCs w:val="22"/>
              </w:rPr>
            </w:pPr>
            <w:r w:rsidRPr="00B81C6F">
              <w:rPr>
                <w:rFonts w:ascii="Arial" w:hAnsi="Arial" w:cs="Arial"/>
                <w:color w:val="FFFFFF"/>
                <w:kern w:val="24"/>
                <w:sz w:val="22"/>
                <w:szCs w:val="22"/>
              </w:rPr>
              <w:t>€ 76.816</w:t>
            </w:r>
          </w:p>
        </w:tc>
        <w:tc>
          <w:tcPr>
            <w:tcW w:w="1276" w:type="dxa"/>
            <w:tcBorders>
              <w:bottom w:val="single" w:sz="18" w:space="0" w:color="auto"/>
            </w:tcBorders>
            <w:shd w:val="clear" w:color="auto" w:fill="808080" w:themeFill="background1" w:themeFillShade="80"/>
          </w:tcPr>
          <w:p w14:paraId="4E969E45" w14:textId="77777777" w:rsidR="00B81C6F" w:rsidRPr="00B81C6F" w:rsidRDefault="00B81C6F" w:rsidP="00B81C6F">
            <w:pPr>
              <w:spacing w:before="0" w:after="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2"/>
                <w:szCs w:val="22"/>
              </w:rPr>
            </w:pPr>
            <w:r w:rsidRPr="00B81C6F">
              <w:rPr>
                <w:rFonts w:ascii="Arial" w:hAnsi="Arial" w:cs="Arial"/>
                <w:b/>
                <w:bCs/>
                <w:color w:val="FFFFFF"/>
                <w:kern w:val="24"/>
                <w:sz w:val="22"/>
                <w:szCs w:val="22"/>
                <w:lang w:val="pt-BR"/>
              </w:rPr>
              <w:t>-</w:t>
            </w:r>
          </w:p>
        </w:tc>
        <w:tc>
          <w:tcPr>
            <w:tcW w:w="1276" w:type="dxa"/>
            <w:tcBorders>
              <w:bottom w:val="single" w:sz="18" w:space="0" w:color="auto"/>
            </w:tcBorders>
          </w:tcPr>
          <w:p w14:paraId="0342A45C" w14:textId="77777777" w:rsidR="00B81C6F" w:rsidRPr="00B81C6F" w:rsidRDefault="00B81C6F" w:rsidP="00B81C6F">
            <w:pPr>
              <w:spacing w:before="0" w:after="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B81C6F">
              <w:rPr>
                <w:rFonts w:ascii="Arial" w:hAnsi="Arial" w:cs="Arial"/>
                <w:color w:val="000000"/>
                <w:kern w:val="24"/>
                <w:sz w:val="22"/>
                <w:szCs w:val="22"/>
              </w:rPr>
              <w:t>49,50%</w:t>
            </w:r>
          </w:p>
        </w:tc>
      </w:tr>
    </w:tbl>
    <w:p w14:paraId="7FFF0057" w14:textId="77777777" w:rsidR="00B81C6F" w:rsidRPr="00B81C6F" w:rsidRDefault="00B81C6F" w:rsidP="00B81C6F">
      <w:pPr>
        <w:spacing w:before="0" w:after="0" w:line="264" w:lineRule="auto"/>
        <w:rPr>
          <w:rFonts w:ascii="Arial" w:eastAsia="Calibri" w:hAnsi="Arial" w:cs="Arial"/>
          <w:color w:val="auto"/>
          <w:sz w:val="22"/>
        </w:rPr>
      </w:pPr>
    </w:p>
    <w:p w14:paraId="74BCF679"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Voor IB-ondernemers stijgt het effectieve belastingtarief echter wel, omdat de mkb-winstvrijstelling lager wordt. Daardoor wordt meer winst belast.</w:t>
      </w:r>
    </w:p>
    <w:bookmarkEnd w:id="0"/>
    <w:p w14:paraId="10487D51" w14:textId="77777777" w:rsidR="00B81C6F" w:rsidRPr="00B81C6F" w:rsidRDefault="00B81C6F" w:rsidP="00B81C6F">
      <w:pPr>
        <w:spacing w:before="0" w:after="0" w:line="264" w:lineRule="auto"/>
        <w:rPr>
          <w:rFonts w:ascii="Arial" w:eastAsia="Calibri" w:hAnsi="Arial" w:cs="Arial"/>
          <w:color w:val="auto"/>
          <w:sz w:val="22"/>
        </w:rPr>
      </w:pPr>
    </w:p>
    <w:p w14:paraId="47FC3B8E"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Ook de algemene heffingskorting wordt voor iedereen verlaagd. Die bedraagt over 2024 nog maximaal € 3.362, in 2025 nog maximaal € 3,068. De arbeidskorting waar onder andere ook u als IB-ondernemers recht op heeft, blijft nagenoeg gelijk.</w:t>
      </w:r>
    </w:p>
    <w:p w14:paraId="32859A18" w14:textId="77777777" w:rsidR="00B81C6F" w:rsidRPr="00B81C6F" w:rsidRDefault="00B81C6F" w:rsidP="00B81C6F">
      <w:pPr>
        <w:spacing w:before="0" w:after="0" w:line="264" w:lineRule="auto"/>
        <w:rPr>
          <w:rFonts w:ascii="Arial" w:eastAsia="Calibri" w:hAnsi="Arial" w:cs="Arial"/>
          <w:color w:val="auto"/>
          <w:sz w:val="22"/>
        </w:rPr>
      </w:pPr>
    </w:p>
    <w:p w14:paraId="4A754696"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Wat betekent dat concreet voor u:</w:t>
      </w:r>
    </w:p>
    <w:p w14:paraId="49088125" w14:textId="77777777" w:rsidR="00B81C6F" w:rsidRPr="007D5B02" w:rsidRDefault="00B81C6F" w:rsidP="00B81C6F">
      <w:pPr>
        <w:pStyle w:val="Lijstalinea"/>
        <w:numPr>
          <w:ilvl w:val="0"/>
          <w:numId w:val="6"/>
        </w:numPr>
        <w:spacing w:after="0" w:line="264" w:lineRule="auto"/>
        <w:rPr>
          <w:rFonts w:eastAsia="Calibri" w:cs="Arial"/>
          <w:sz w:val="22"/>
        </w:rPr>
      </w:pPr>
      <w:r w:rsidRPr="007D5B02">
        <w:rPr>
          <w:rFonts w:eastAsia="Calibri" w:cs="Arial"/>
          <w:sz w:val="22"/>
        </w:rPr>
        <w:t>u wordt over uw winst meer inkomstenbelasting verschuldigd;</w:t>
      </w:r>
    </w:p>
    <w:p w14:paraId="7AE99FE2" w14:textId="264891A7" w:rsidR="00B81C6F" w:rsidRPr="007D5B02" w:rsidRDefault="00B81C6F" w:rsidP="00B81C6F">
      <w:pPr>
        <w:pStyle w:val="Lijstalinea"/>
        <w:numPr>
          <w:ilvl w:val="0"/>
          <w:numId w:val="6"/>
        </w:numPr>
        <w:spacing w:after="0" w:line="264" w:lineRule="auto"/>
        <w:rPr>
          <w:rFonts w:eastAsia="Calibri" w:cs="Arial"/>
          <w:sz w:val="22"/>
        </w:rPr>
      </w:pPr>
      <w:r w:rsidRPr="007D5B02">
        <w:rPr>
          <w:rFonts w:eastAsia="Calibri" w:cs="Arial"/>
          <w:sz w:val="22"/>
        </w:rPr>
        <w:t>hoeveel meer hangt helemaal van uw privésituatie af. Dat is echt maatwerk.</w:t>
      </w:r>
    </w:p>
    <w:p w14:paraId="6FA79949" w14:textId="77777777" w:rsidR="00B81C6F" w:rsidRPr="00B81C6F" w:rsidRDefault="00B81C6F" w:rsidP="00B81C6F">
      <w:pPr>
        <w:spacing w:before="0" w:after="0" w:line="264" w:lineRule="auto"/>
        <w:rPr>
          <w:rFonts w:ascii="Arial" w:eastAsia="Calibri" w:hAnsi="Arial" w:cs="Arial"/>
          <w:color w:val="auto"/>
          <w:sz w:val="22"/>
        </w:rPr>
      </w:pPr>
    </w:p>
    <w:p w14:paraId="1C99DD50" w14:textId="1E4FDF05" w:rsidR="005360AF" w:rsidRPr="00B81C6F" w:rsidRDefault="00B81C6F" w:rsidP="00B81C6F">
      <w:pPr>
        <w:spacing w:before="0" w:after="120" w:line="264" w:lineRule="auto"/>
        <w:rPr>
          <w:rFonts w:ascii="Arial" w:eastAsia="Calibri" w:hAnsi="Arial" w:cs="Arial"/>
          <w:color w:val="auto"/>
          <w:sz w:val="22"/>
        </w:rPr>
      </w:pPr>
      <w:r w:rsidRPr="00B81C6F">
        <w:rPr>
          <w:rFonts w:ascii="Arial" w:eastAsia="Calibri" w:hAnsi="Arial" w:cs="Arial"/>
          <w:color w:val="auto"/>
          <w:sz w:val="22"/>
        </w:rPr>
        <w:t>Als we rekening houden met de 12,7% mkb-winstvrijstelling luiden de effectieve box 1-tarieven over uw winst uit onderneming:</w:t>
      </w:r>
    </w:p>
    <w:tbl>
      <w:tblPr>
        <w:tblStyle w:val="Gemiddeldearcering2-accent1"/>
        <w:tblW w:w="0" w:type="auto"/>
        <w:tblLook w:val="04A0" w:firstRow="1" w:lastRow="0" w:firstColumn="1" w:lastColumn="0" w:noHBand="0" w:noVBand="1"/>
      </w:tblPr>
      <w:tblGrid>
        <w:gridCol w:w="1276"/>
        <w:gridCol w:w="1276"/>
        <w:gridCol w:w="1276"/>
      </w:tblGrid>
      <w:tr w:rsidR="00B81C6F" w:rsidRPr="007D5B02" w14:paraId="03E1C6CA" w14:textId="77777777" w:rsidTr="00B81C6F">
        <w:trPr>
          <w:cnfStyle w:val="100000000000" w:firstRow="1" w:lastRow="0" w:firstColumn="0" w:lastColumn="0" w:oddVBand="0" w:evenVBand="0" w:oddHBand="0" w:evenHBand="0" w:firstRowFirstColumn="0" w:firstRowLastColumn="0" w:lastRowFirstColumn="0" w:lastRowLastColumn="0"/>
          <w:trHeight w:val="252"/>
        </w:trPr>
        <w:tc>
          <w:tcPr>
            <w:cnfStyle w:val="001000000100" w:firstRow="0" w:lastRow="0" w:firstColumn="1" w:lastColumn="0" w:oddVBand="0" w:evenVBand="0" w:oddHBand="0" w:evenHBand="0" w:firstRowFirstColumn="1" w:firstRowLastColumn="0" w:lastRowFirstColumn="0" w:lastRowLastColumn="0"/>
            <w:tcW w:w="2552" w:type="dxa"/>
            <w:gridSpan w:val="2"/>
            <w:tcBorders>
              <w:bottom w:val="nil"/>
            </w:tcBorders>
            <w:shd w:val="clear" w:color="auto" w:fill="808080" w:themeFill="background1" w:themeFillShade="80"/>
          </w:tcPr>
          <w:p w14:paraId="0A4C86E5" w14:textId="77777777" w:rsidR="00B81C6F" w:rsidRPr="00B81C6F" w:rsidRDefault="00B81C6F" w:rsidP="00B81C6F">
            <w:pPr>
              <w:spacing w:before="0" w:after="0" w:line="264" w:lineRule="auto"/>
              <w:jc w:val="right"/>
              <w:rPr>
                <w:rFonts w:ascii="Arial" w:hAnsi="Arial" w:cs="Arial"/>
                <w:iCs/>
                <w:color w:val="FFFFFF"/>
                <w:sz w:val="22"/>
                <w:szCs w:val="22"/>
              </w:rPr>
            </w:pPr>
            <w:r w:rsidRPr="00B81C6F">
              <w:rPr>
                <w:rFonts w:ascii="Arial" w:hAnsi="Arial" w:cs="Arial"/>
                <w:iCs/>
                <w:color w:val="FFFFFF"/>
                <w:sz w:val="22"/>
                <w:szCs w:val="22"/>
              </w:rPr>
              <w:t>Box 1-inkomen</w:t>
            </w:r>
          </w:p>
        </w:tc>
        <w:tc>
          <w:tcPr>
            <w:tcW w:w="1276" w:type="dxa"/>
            <w:vMerge w:val="restart"/>
            <w:shd w:val="clear" w:color="auto" w:fill="808080" w:themeFill="background1" w:themeFillShade="80"/>
          </w:tcPr>
          <w:p w14:paraId="34DFAC4D" w14:textId="77777777" w:rsidR="00B81C6F" w:rsidRPr="00B81C6F" w:rsidRDefault="00B81C6F" w:rsidP="00B81C6F">
            <w:pPr>
              <w:spacing w:before="0" w:after="0"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iCs/>
                <w:color w:val="FFFFFF"/>
                <w:sz w:val="22"/>
                <w:szCs w:val="22"/>
              </w:rPr>
            </w:pPr>
            <w:r w:rsidRPr="00B81C6F">
              <w:rPr>
                <w:rFonts w:ascii="Arial" w:hAnsi="Arial" w:cs="Arial"/>
                <w:iCs/>
                <w:color w:val="FFFFFF"/>
                <w:sz w:val="22"/>
                <w:szCs w:val="22"/>
              </w:rPr>
              <w:t>IB/PH</w:t>
            </w:r>
          </w:p>
        </w:tc>
      </w:tr>
      <w:tr w:rsidR="00B81C6F" w:rsidRPr="007D5B02" w14:paraId="68EFBA43" w14:textId="77777777" w:rsidTr="00B81C6F">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76" w:type="dxa"/>
            <w:tcBorders>
              <w:bottom w:val="single" w:sz="18" w:space="0" w:color="auto"/>
            </w:tcBorders>
            <w:shd w:val="clear" w:color="auto" w:fill="808080" w:themeFill="background1" w:themeFillShade="80"/>
          </w:tcPr>
          <w:p w14:paraId="0793EB6F" w14:textId="77777777" w:rsidR="00B81C6F" w:rsidRPr="00B81C6F" w:rsidRDefault="00B81C6F" w:rsidP="00B81C6F">
            <w:pPr>
              <w:spacing w:before="0" w:after="0" w:line="264" w:lineRule="auto"/>
              <w:jc w:val="right"/>
              <w:rPr>
                <w:rFonts w:ascii="Arial" w:hAnsi="Arial" w:cs="Arial"/>
                <w:iCs/>
                <w:color w:val="FFFFFF"/>
                <w:sz w:val="22"/>
                <w:szCs w:val="22"/>
              </w:rPr>
            </w:pPr>
            <w:r w:rsidRPr="00B81C6F">
              <w:rPr>
                <w:rFonts w:ascii="Arial" w:hAnsi="Arial" w:cs="Arial"/>
                <w:iCs/>
                <w:color w:val="FFFFFF"/>
                <w:sz w:val="22"/>
                <w:szCs w:val="22"/>
              </w:rPr>
              <w:t>van</w:t>
            </w:r>
          </w:p>
        </w:tc>
        <w:tc>
          <w:tcPr>
            <w:tcW w:w="1276" w:type="dxa"/>
            <w:tcBorders>
              <w:top w:val="nil"/>
              <w:bottom w:val="single" w:sz="18" w:space="0" w:color="auto"/>
            </w:tcBorders>
            <w:shd w:val="clear" w:color="auto" w:fill="808080" w:themeFill="background1" w:themeFillShade="80"/>
          </w:tcPr>
          <w:p w14:paraId="50BBAFB4" w14:textId="77777777" w:rsidR="00B81C6F" w:rsidRPr="00B81C6F" w:rsidRDefault="00B81C6F" w:rsidP="00B81C6F">
            <w:pPr>
              <w:spacing w:before="0" w:after="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iCs/>
                <w:color w:val="auto"/>
                <w:sz w:val="22"/>
                <w:szCs w:val="22"/>
              </w:rPr>
            </w:pPr>
            <w:r w:rsidRPr="00B81C6F">
              <w:rPr>
                <w:rFonts w:ascii="Arial" w:hAnsi="Arial" w:cs="Arial"/>
                <w:b/>
                <w:iCs/>
                <w:color w:val="FFFFFF"/>
                <w:sz w:val="22"/>
                <w:szCs w:val="22"/>
              </w:rPr>
              <w:t>tot</w:t>
            </w:r>
          </w:p>
        </w:tc>
        <w:tc>
          <w:tcPr>
            <w:tcW w:w="1276" w:type="dxa"/>
            <w:vMerge/>
            <w:tcBorders>
              <w:bottom w:val="single" w:sz="18" w:space="0" w:color="auto"/>
            </w:tcBorders>
            <w:shd w:val="clear" w:color="auto" w:fill="4472C4"/>
          </w:tcPr>
          <w:p w14:paraId="4B5076F0" w14:textId="77777777" w:rsidR="00B81C6F" w:rsidRPr="00B81C6F" w:rsidRDefault="00B81C6F" w:rsidP="00B81C6F">
            <w:pPr>
              <w:spacing w:before="0" w:after="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Cs/>
                <w:color w:val="auto"/>
                <w:sz w:val="22"/>
                <w:szCs w:val="22"/>
              </w:rPr>
            </w:pPr>
          </w:p>
        </w:tc>
      </w:tr>
      <w:tr w:rsidR="00B81C6F" w:rsidRPr="00B81C6F" w14:paraId="2A0C35C4" w14:textId="77777777" w:rsidTr="00B81C6F">
        <w:tc>
          <w:tcPr>
            <w:cnfStyle w:val="001000000000" w:firstRow="0" w:lastRow="0" w:firstColumn="1" w:lastColumn="0" w:oddVBand="0" w:evenVBand="0" w:oddHBand="0" w:evenHBand="0" w:firstRowFirstColumn="0" w:firstRowLastColumn="0" w:lastRowFirstColumn="0" w:lastRowLastColumn="0"/>
            <w:tcW w:w="1276" w:type="dxa"/>
            <w:shd w:val="clear" w:color="auto" w:fill="808080" w:themeFill="background1" w:themeFillShade="80"/>
          </w:tcPr>
          <w:p w14:paraId="4FC99DD1" w14:textId="77777777" w:rsidR="00B81C6F" w:rsidRPr="00B81C6F" w:rsidRDefault="00B81C6F" w:rsidP="00B81C6F">
            <w:pPr>
              <w:spacing w:before="0" w:after="0" w:line="264" w:lineRule="auto"/>
              <w:jc w:val="right"/>
              <w:rPr>
                <w:rFonts w:ascii="Arial" w:hAnsi="Arial" w:cs="Arial"/>
                <w:iCs/>
                <w:color w:val="FFFFFF"/>
                <w:sz w:val="22"/>
                <w:szCs w:val="22"/>
              </w:rPr>
            </w:pPr>
            <w:r w:rsidRPr="00B81C6F">
              <w:rPr>
                <w:rFonts w:ascii="Arial" w:hAnsi="Arial" w:cs="Arial"/>
                <w:iCs/>
                <w:color w:val="FFFFFF"/>
                <w:kern w:val="24"/>
                <w:sz w:val="22"/>
                <w:szCs w:val="22"/>
                <w:lang w:val="pt-BR"/>
              </w:rPr>
              <w:t>-</w:t>
            </w:r>
          </w:p>
        </w:tc>
        <w:tc>
          <w:tcPr>
            <w:tcW w:w="1276" w:type="dxa"/>
            <w:shd w:val="clear" w:color="auto" w:fill="808080" w:themeFill="background1" w:themeFillShade="80"/>
          </w:tcPr>
          <w:p w14:paraId="04B82FF9" w14:textId="77777777" w:rsidR="00B81C6F" w:rsidRPr="00B81C6F" w:rsidRDefault="00B81C6F" w:rsidP="00B81C6F">
            <w:pPr>
              <w:spacing w:before="0" w:after="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Cs/>
                <w:color w:val="FFFFFF"/>
                <w:sz w:val="22"/>
                <w:szCs w:val="22"/>
              </w:rPr>
            </w:pPr>
            <w:r w:rsidRPr="00B81C6F">
              <w:rPr>
                <w:rFonts w:ascii="Arial" w:hAnsi="Arial" w:cs="Arial"/>
                <w:b/>
                <w:bCs/>
                <w:iCs/>
                <w:color w:val="FFFFFF"/>
                <w:kern w:val="24"/>
                <w:sz w:val="22"/>
                <w:szCs w:val="22"/>
                <w:lang w:val="pt-BR"/>
              </w:rPr>
              <w:t>€ 38.441</w:t>
            </w:r>
          </w:p>
        </w:tc>
        <w:tc>
          <w:tcPr>
            <w:tcW w:w="1276" w:type="dxa"/>
          </w:tcPr>
          <w:p w14:paraId="29151D27" w14:textId="77777777" w:rsidR="00B81C6F" w:rsidRPr="00B81C6F" w:rsidRDefault="00B81C6F" w:rsidP="00B81C6F">
            <w:pPr>
              <w:spacing w:before="0" w:after="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iCs/>
                <w:color w:val="auto"/>
                <w:sz w:val="22"/>
                <w:szCs w:val="22"/>
              </w:rPr>
            </w:pPr>
            <w:r w:rsidRPr="00B81C6F">
              <w:rPr>
                <w:rFonts w:ascii="Arial" w:hAnsi="Arial" w:cs="Arial"/>
                <w:iCs/>
                <w:color w:val="000000"/>
                <w:kern w:val="24"/>
                <w:sz w:val="22"/>
                <w:szCs w:val="22"/>
                <w:lang w:val="pt-BR"/>
              </w:rPr>
              <w:t>31,06%</w:t>
            </w:r>
          </w:p>
        </w:tc>
      </w:tr>
      <w:tr w:rsidR="00B81C6F" w:rsidRPr="007D5B02" w14:paraId="21536581" w14:textId="77777777" w:rsidTr="00B81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808080" w:themeFill="background1" w:themeFillShade="80"/>
          </w:tcPr>
          <w:p w14:paraId="31775674" w14:textId="77777777" w:rsidR="00B81C6F" w:rsidRPr="00B81C6F" w:rsidRDefault="00B81C6F" w:rsidP="00B81C6F">
            <w:pPr>
              <w:spacing w:before="0" w:after="0" w:line="264" w:lineRule="auto"/>
              <w:jc w:val="right"/>
              <w:rPr>
                <w:rFonts w:ascii="Arial" w:hAnsi="Arial" w:cs="Arial"/>
                <w:color w:val="FFFFFF"/>
                <w:sz w:val="22"/>
                <w:szCs w:val="22"/>
              </w:rPr>
            </w:pPr>
            <w:r w:rsidRPr="00B81C6F">
              <w:rPr>
                <w:rFonts w:ascii="Arial" w:hAnsi="Arial" w:cs="Arial"/>
                <w:color w:val="FFFFFF"/>
                <w:kern w:val="24"/>
                <w:sz w:val="22"/>
                <w:szCs w:val="22"/>
                <w:lang w:val="pt-BR"/>
              </w:rPr>
              <w:t>€ 38.441</w:t>
            </w:r>
          </w:p>
        </w:tc>
        <w:tc>
          <w:tcPr>
            <w:tcW w:w="1276" w:type="dxa"/>
            <w:shd w:val="clear" w:color="auto" w:fill="808080" w:themeFill="background1" w:themeFillShade="80"/>
          </w:tcPr>
          <w:p w14:paraId="4A3C6719" w14:textId="77777777" w:rsidR="00B81C6F" w:rsidRPr="00B81C6F" w:rsidRDefault="00B81C6F" w:rsidP="00B81C6F">
            <w:pPr>
              <w:spacing w:before="0" w:after="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sz w:val="22"/>
                <w:szCs w:val="22"/>
              </w:rPr>
            </w:pPr>
            <w:r w:rsidRPr="00B81C6F">
              <w:rPr>
                <w:rFonts w:ascii="Arial" w:hAnsi="Arial" w:cs="Arial"/>
                <w:b/>
                <w:bCs/>
                <w:color w:val="FFFFFF"/>
                <w:kern w:val="24"/>
                <w:sz w:val="22"/>
                <w:szCs w:val="22"/>
              </w:rPr>
              <w:t>€ 76.816</w:t>
            </w:r>
          </w:p>
        </w:tc>
        <w:tc>
          <w:tcPr>
            <w:tcW w:w="1276" w:type="dxa"/>
          </w:tcPr>
          <w:p w14:paraId="0A4C0473" w14:textId="77777777" w:rsidR="00B81C6F" w:rsidRPr="00B81C6F" w:rsidRDefault="00B81C6F" w:rsidP="00B81C6F">
            <w:pPr>
              <w:spacing w:before="0" w:after="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B81C6F">
              <w:rPr>
                <w:rFonts w:ascii="Arial" w:hAnsi="Arial" w:cs="Arial"/>
                <w:color w:val="000000"/>
                <w:kern w:val="24"/>
                <w:sz w:val="22"/>
                <w:szCs w:val="22"/>
              </w:rPr>
              <w:t>33,72%</w:t>
            </w:r>
          </w:p>
        </w:tc>
      </w:tr>
      <w:tr w:rsidR="00B81C6F" w:rsidRPr="007D5B02" w14:paraId="49D0BAD5" w14:textId="77777777" w:rsidTr="00B81C6F">
        <w:tc>
          <w:tcPr>
            <w:cnfStyle w:val="001000000000" w:firstRow="0" w:lastRow="0" w:firstColumn="1" w:lastColumn="0" w:oddVBand="0" w:evenVBand="0" w:oddHBand="0" w:evenHBand="0" w:firstRowFirstColumn="0" w:firstRowLastColumn="0" w:lastRowFirstColumn="0" w:lastRowLastColumn="0"/>
            <w:tcW w:w="1276" w:type="dxa"/>
            <w:shd w:val="clear" w:color="auto" w:fill="808080" w:themeFill="background1" w:themeFillShade="80"/>
          </w:tcPr>
          <w:p w14:paraId="1769C268" w14:textId="77777777" w:rsidR="00B81C6F" w:rsidRPr="00B81C6F" w:rsidRDefault="00B81C6F" w:rsidP="00B81C6F">
            <w:pPr>
              <w:spacing w:before="0" w:after="0" w:line="264" w:lineRule="auto"/>
              <w:jc w:val="right"/>
              <w:rPr>
                <w:rFonts w:ascii="Arial" w:hAnsi="Arial" w:cs="Arial"/>
                <w:color w:val="FFFFFF"/>
                <w:sz w:val="22"/>
                <w:szCs w:val="22"/>
              </w:rPr>
            </w:pPr>
            <w:r w:rsidRPr="00B81C6F">
              <w:rPr>
                <w:rFonts w:ascii="Arial" w:hAnsi="Arial" w:cs="Arial"/>
                <w:color w:val="FFFFFF"/>
                <w:kern w:val="24"/>
                <w:sz w:val="22"/>
                <w:szCs w:val="22"/>
              </w:rPr>
              <w:t>€ 76.816</w:t>
            </w:r>
          </w:p>
        </w:tc>
        <w:tc>
          <w:tcPr>
            <w:tcW w:w="1276" w:type="dxa"/>
            <w:tcBorders>
              <w:bottom w:val="single" w:sz="18" w:space="0" w:color="auto"/>
            </w:tcBorders>
            <w:shd w:val="clear" w:color="auto" w:fill="808080" w:themeFill="background1" w:themeFillShade="80"/>
          </w:tcPr>
          <w:p w14:paraId="4F53E0A1" w14:textId="77777777" w:rsidR="00B81C6F" w:rsidRPr="00B81C6F" w:rsidRDefault="00B81C6F" w:rsidP="00B81C6F">
            <w:pPr>
              <w:spacing w:before="0" w:after="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sz w:val="22"/>
                <w:szCs w:val="22"/>
              </w:rPr>
            </w:pPr>
            <w:r w:rsidRPr="00B81C6F">
              <w:rPr>
                <w:rFonts w:ascii="Arial" w:hAnsi="Arial" w:cs="Arial"/>
                <w:b/>
                <w:bCs/>
                <w:color w:val="FFFFFF"/>
                <w:kern w:val="24"/>
                <w:sz w:val="22"/>
                <w:szCs w:val="22"/>
                <w:lang w:val="pt-BR"/>
              </w:rPr>
              <w:t>-</w:t>
            </w:r>
          </w:p>
        </w:tc>
        <w:tc>
          <w:tcPr>
            <w:tcW w:w="1276" w:type="dxa"/>
            <w:tcBorders>
              <w:bottom w:val="single" w:sz="18" w:space="0" w:color="auto"/>
            </w:tcBorders>
          </w:tcPr>
          <w:p w14:paraId="5FDD59F3" w14:textId="77777777" w:rsidR="00B81C6F" w:rsidRPr="00B81C6F" w:rsidRDefault="00B81C6F" w:rsidP="00B81C6F">
            <w:pPr>
              <w:spacing w:before="0" w:after="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B81C6F">
              <w:rPr>
                <w:rFonts w:ascii="Arial" w:hAnsi="Arial" w:cs="Arial"/>
                <w:color w:val="000000"/>
                <w:kern w:val="24"/>
                <w:sz w:val="22"/>
                <w:szCs w:val="22"/>
              </w:rPr>
              <w:t>44,74%</w:t>
            </w:r>
          </w:p>
        </w:tc>
      </w:tr>
    </w:tbl>
    <w:p w14:paraId="679C6B5F" w14:textId="77777777" w:rsidR="00B81C6F" w:rsidRPr="00B81C6F" w:rsidRDefault="00B81C6F" w:rsidP="00B81C6F">
      <w:pPr>
        <w:spacing w:before="0" w:after="0" w:line="264" w:lineRule="auto"/>
        <w:rPr>
          <w:rFonts w:ascii="Arial" w:eastAsia="Calibri" w:hAnsi="Arial" w:cs="Arial"/>
          <w:color w:val="auto"/>
          <w:sz w:val="22"/>
        </w:rPr>
      </w:pPr>
    </w:p>
    <w:p w14:paraId="76D00E39" w14:textId="77777777" w:rsidR="00B81C6F" w:rsidRPr="00B81C6F" w:rsidRDefault="00B81C6F" w:rsidP="00B81C6F">
      <w:pPr>
        <w:spacing w:before="0" w:after="120" w:line="264" w:lineRule="auto"/>
        <w:rPr>
          <w:rFonts w:ascii="Arial" w:eastAsia="Calibri" w:hAnsi="Arial" w:cs="Arial"/>
          <w:color w:val="auto"/>
          <w:sz w:val="22"/>
        </w:rPr>
      </w:pPr>
      <w:r w:rsidRPr="00B81C6F">
        <w:rPr>
          <w:rFonts w:ascii="Arial" w:eastAsia="Calibri" w:hAnsi="Arial" w:cs="Arial"/>
          <w:color w:val="auto"/>
          <w:sz w:val="22"/>
        </w:rPr>
        <w:t>Maar nog steeds zijn dit de ‘kale’ inkomstenbelastingtarieven. Hierbij is geen rekening gehouden met bijvoorbeeld de arbeidskorting (AK), algemene heffingskorting (AHK) en inkomensafhankelijke bijdrage Zorgverzekeringswet (ZVW).</w:t>
      </w:r>
      <w:bookmarkStart w:id="1" w:name="_Hlk114649580"/>
    </w:p>
    <w:bookmarkEnd w:id="1"/>
    <w:p w14:paraId="26BEA46F" w14:textId="77777777" w:rsidR="00B81C6F" w:rsidRPr="00B81C6F" w:rsidRDefault="00B81C6F" w:rsidP="00B81C6F">
      <w:pPr>
        <w:keepNext/>
        <w:keepLines/>
        <w:spacing w:before="360" w:after="120" w:line="259" w:lineRule="auto"/>
        <w:outlineLvl w:val="0"/>
        <w:rPr>
          <w:rFonts w:ascii="Arial" w:eastAsia="Times New Roman" w:hAnsi="Arial" w:cs="Arial"/>
          <w:szCs w:val="32"/>
        </w:rPr>
      </w:pPr>
      <w:r w:rsidRPr="00B81C6F">
        <w:rPr>
          <w:rFonts w:ascii="Arial" w:eastAsia="Times New Roman" w:hAnsi="Arial" w:cs="Arial"/>
          <w:szCs w:val="32"/>
        </w:rPr>
        <w:lastRenderedPageBreak/>
        <w:t>Kostenaftrek werkruimte</w:t>
      </w:r>
    </w:p>
    <w:p w14:paraId="60D5D699" w14:textId="77777777" w:rsidR="00B81C6F" w:rsidRPr="007D5B02" w:rsidRDefault="00B81C6F" w:rsidP="00B81C6F">
      <w:pPr>
        <w:spacing w:after="0" w:line="264" w:lineRule="auto"/>
        <w:rPr>
          <w:rFonts w:ascii="Arial" w:eastAsia="Calibri" w:hAnsi="Arial" w:cs="Arial"/>
          <w:color w:val="auto"/>
          <w:sz w:val="22"/>
        </w:rPr>
      </w:pPr>
      <w:r w:rsidRPr="007D5B02">
        <w:rPr>
          <w:rFonts w:ascii="Arial" w:eastAsia="Calibri" w:hAnsi="Arial" w:cs="Arial"/>
          <w:color w:val="auto"/>
          <w:sz w:val="22"/>
          <w:highlight w:val="white"/>
        </w:rPr>
        <w:t>Op 29 november 2016 had het gerechtshof Arnhem-Leeuwarden al geoordeeld dat als een huurrecht van een woning wordt gerekend tot het ondernemingsvermogen, de kosten van een niet-zelfstandige werkkamer niet aftrekbaar zijn als huurderslasten. Denk daarbij aan</w:t>
      </w:r>
      <w:r w:rsidRPr="007D5B02">
        <w:rPr>
          <w:rFonts w:ascii="Arial" w:eastAsia="Calibri" w:hAnsi="Arial" w:cs="Arial"/>
          <w:color w:val="auto"/>
          <w:sz w:val="22"/>
        </w:rPr>
        <w:t xml:space="preserve"> </w:t>
      </w:r>
      <w:r w:rsidRPr="007D5B02">
        <w:rPr>
          <w:rFonts w:ascii="Arial" w:eastAsia="Calibri" w:hAnsi="Arial" w:cs="Arial"/>
          <w:color w:val="auto"/>
          <w:sz w:val="22"/>
          <w:highlight w:val="white"/>
        </w:rPr>
        <w:t>inrichtingskosten (meubilair, stoffering, behang, e.d.) en kosten van gas, water en elektriciteit.</w:t>
      </w:r>
    </w:p>
    <w:p w14:paraId="06968BDE" w14:textId="77777777" w:rsidR="00B81C6F" w:rsidRPr="00B81C6F" w:rsidRDefault="00B81C6F" w:rsidP="00B81C6F">
      <w:pPr>
        <w:spacing w:before="0" w:after="0" w:line="264" w:lineRule="auto"/>
        <w:rPr>
          <w:rFonts w:ascii="Arial" w:eastAsia="Calibri" w:hAnsi="Arial" w:cs="Arial"/>
          <w:color w:val="auto"/>
          <w:sz w:val="22"/>
        </w:rPr>
      </w:pPr>
    </w:p>
    <w:p w14:paraId="5472FB4C" w14:textId="24C8D36B" w:rsidR="005360AF" w:rsidRPr="007D5B02"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Dat wordt nu uitdrukkelijk in de wet opgenomen. Daardoor wordt het voor ondernemers die een woning huren definitief niet mogelijk om nog huisvestingskosten ten laste van hun winst te brengen.</w:t>
      </w:r>
    </w:p>
    <w:p w14:paraId="7A891DB2" w14:textId="77777777" w:rsidR="005360AF" w:rsidRPr="005360AF" w:rsidRDefault="005360AF" w:rsidP="005360AF">
      <w:pPr>
        <w:keepNext/>
        <w:keepLines/>
        <w:spacing w:before="360" w:after="120" w:line="259" w:lineRule="auto"/>
        <w:outlineLvl w:val="0"/>
        <w:rPr>
          <w:rFonts w:ascii="Arial" w:eastAsia="Times New Roman" w:hAnsi="Arial" w:cs="Arial"/>
          <w:szCs w:val="32"/>
        </w:rPr>
      </w:pPr>
      <w:bookmarkStart w:id="2" w:name="_Hlk177591707"/>
      <w:r w:rsidRPr="005360AF">
        <w:rPr>
          <w:rFonts w:ascii="Arial" w:eastAsia="Times New Roman" w:hAnsi="Arial" w:cs="Arial"/>
          <w:szCs w:val="32"/>
        </w:rPr>
        <w:t>Inflatiecorrectie eindheffing bestelauto</w:t>
      </w:r>
    </w:p>
    <w:p w14:paraId="794532A4" w14:textId="77777777" w:rsidR="005360AF" w:rsidRPr="005360AF" w:rsidRDefault="005360AF" w:rsidP="005360AF">
      <w:pPr>
        <w:spacing w:before="0" w:after="0" w:line="264" w:lineRule="auto"/>
        <w:rPr>
          <w:rFonts w:ascii="Arial" w:eastAsia="Calibri" w:hAnsi="Arial" w:cs="Arial"/>
          <w:color w:val="auto"/>
          <w:sz w:val="22"/>
        </w:rPr>
      </w:pPr>
      <w:r w:rsidRPr="005360AF">
        <w:rPr>
          <w:rFonts w:ascii="Arial" w:eastAsia="Calibri" w:hAnsi="Arial" w:cs="Arial"/>
          <w:color w:val="auto"/>
          <w:sz w:val="22"/>
        </w:rPr>
        <w:t>Een aantal ondernemers stelt als werkgever een bestelauto van de zaak ter beschikking aan twee of meer werknemers, die de auto afwisselend gebruiken. Dan geldt onder voorwaarden al vanaf 2006 zogenoemde € 300-regeling. Daarbij mag een werkgever de bijtelling wegens privégebruik van de bestelauto aanwijzen als eindheffingsloon.</w:t>
      </w:r>
    </w:p>
    <w:p w14:paraId="6EB4BCE1" w14:textId="77777777" w:rsidR="005360AF" w:rsidRPr="005360AF" w:rsidRDefault="005360AF" w:rsidP="005360AF">
      <w:pPr>
        <w:tabs>
          <w:tab w:val="num" w:pos="720"/>
        </w:tabs>
        <w:spacing w:before="0" w:after="0" w:line="264" w:lineRule="auto"/>
        <w:rPr>
          <w:rFonts w:ascii="Arial" w:eastAsia="Calibri" w:hAnsi="Arial" w:cs="Arial"/>
          <w:color w:val="auto"/>
          <w:sz w:val="22"/>
        </w:rPr>
      </w:pPr>
    </w:p>
    <w:p w14:paraId="26BEF4F5" w14:textId="77777777" w:rsidR="005360AF" w:rsidRPr="005360AF" w:rsidRDefault="005360AF" w:rsidP="005360AF">
      <w:pPr>
        <w:tabs>
          <w:tab w:val="num" w:pos="720"/>
        </w:tabs>
        <w:spacing w:before="0" w:after="0" w:line="264" w:lineRule="auto"/>
        <w:rPr>
          <w:rFonts w:ascii="Arial" w:eastAsia="Calibri" w:hAnsi="Arial" w:cs="Arial"/>
          <w:color w:val="auto"/>
          <w:sz w:val="22"/>
        </w:rPr>
      </w:pPr>
      <w:r w:rsidRPr="005360AF">
        <w:rPr>
          <w:rFonts w:ascii="Arial" w:eastAsia="Calibri" w:hAnsi="Arial" w:cs="Arial"/>
          <w:color w:val="auto"/>
          <w:sz w:val="22"/>
        </w:rPr>
        <w:t>De hoogte van dat bedrag van € 300 wordt nu voor eerst sinds 2006 i.v.m. inflatie m.i.v. 01 januari aanstaande aangepast naar € 438.</w:t>
      </w:r>
    </w:p>
    <w:bookmarkEnd w:id="2"/>
    <w:p w14:paraId="06C8202B" w14:textId="77777777" w:rsidR="005360AF" w:rsidRPr="005360AF" w:rsidRDefault="005360AF" w:rsidP="005360AF">
      <w:pPr>
        <w:keepNext/>
        <w:keepLines/>
        <w:spacing w:before="360" w:after="120" w:line="259" w:lineRule="auto"/>
        <w:outlineLvl w:val="0"/>
        <w:rPr>
          <w:rFonts w:ascii="Arial" w:eastAsia="Times New Roman" w:hAnsi="Arial" w:cs="Arial"/>
          <w:szCs w:val="32"/>
        </w:rPr>
      </w:pPr>
      <w:r w:rsidRPr="005360AF">
        <w:rPr>
          <w:rFonts w:ascii="Arial" w:eastAsia="Times New Roman" w:hAnsi="Arial" w:cs="Arial"/>
          <w:szCs w:val="32"/>
        </w:rPr>
        <w:t>Wet aanpassing fiscale bedrijfsopvolgingsfaciliteiten 2025</w:t>
      </w:r>
    </w:p>
    <w:p w14:paraId="4686B7D6" w14:textId="77777777" w:rsidR="005360AF" w:rsidRPr="005360AF" w:rsidRDefault="005360AF" w:rsidP="005360AF">
      <w:pPr>
        <w:spacing w:before="0" w:after="0" w:line="264" w:lineRule="auto"/>
        <w:rPr>
          <w:rFonts w:ascii="Arial" w:eastAsia="Calibri" w:hAnsi="Arial" w:cs="Arial"/>
          <w:color w:val="auto"/>
          <w:sz w:val="22"/>
        </w:rPr>
      </w:pPr>
      <w:r w:rsidRPr="005360AF">
        <w:rPr>
          <w:rFonts w:ascii="Arial" w:eastAsia="Calibri" w:hAnsi="Arial" w:cs="Arial"/>
          <w:color w:val="auto"/>
          <w:sz w:val="22"/>
        </w:rPr>
        <w:t xml:space="preserve">U kunt als IB-ondernemer onder voorwaarden uw onderneming fiscaal erg gunstig overdragen aan iemand anders, bijvoorbeeld uw kind. Als dan sprake is van een schenking, is niet of nauwelijks schenkbelasting verschuldigd op grond van de zogenoemde </w:t>
      </w:r>
      <w:proofErr w:type="spellStart"/>
      <w:r w:rsidRPr="005360AF">
        <w:rPr>
          <w:rFonts w:ascii="Arial" w:eastAsia="Calibri" w:hAnsi="Arial" w:cs="Arial"/>
          <w:color w:val="auto"/>
          <w:sz w:val="22"/>
        </w:rPr>
        <w:t>BedrijfsOpvolgingsRegeling</w:t>
      </w:r>
      <w:proofErr w:type="spellEnd"/>
      <w:r w:rsidRPr="005360AF">
        <w:rPr>
          <w:rFonts w:ascii="Arial" w:eastAsia="Calibri" w:hAnsi="Arial" w:cs="Arial"/>
          <w:color w:val="auto"/>
          <w:sz w:val="22"/>
        </w:rPr>
        <w:t xml:space="preserve"> (BOR).</w:t>
      </w:r>
    </w:p>
    <w:p w14:paraId="394758A5" w14:textId="77777777" w:rsidR="005360AF" w:rsidRPr="005360AF" w:rsidRDefault="005360AF" w:rsidP="005360AF">
      <w:pPr>
        <w:spacing w:before="0" w:after="0" w:line="264" w:lineRule="auto"/>
        <w:rPr>
          <w:rFonts w:ascii="Arial" w:eastAsia="Calibri" w:hAnsi="Arial" w:cs="Arial"/>
          <w:color w:val="auto"/>
          <w:sz w:val="22"/>
        </w:rPr>
      </w:pPr>
    </w:p>
    <w:p w14:paraId="01208BDC" w14:textId="77777777" w:rsidR="005360AF" w:rsidRPr="005360AF" w:rsidRDefault="005360AF" w:rsidP="005360AF">
      <w:pPr>
        <w:spacing w:before="0" w:after="0" w:line="264" w:lineRule="auto"/>
        <w:rPr>
          <w:rFonts w:ascii="Arial" w:eastAsia="Calibri" w:hAnsi="Arial" w:cs="Arial"/>
          <w:color w:val="auto"/>
          <w:sz w:val="22"/>
        </w:rPr>
      </w:pPr>
      <w:r w:rsidRPr="005360AF">
        <w:rPr>
          <w:rFonts w:ascii="Arial" w:eastAsia="Calibri" w:hAnsi="Arial" w:cs="Arial"/>
          <w:color w:val="auto"/>
          <w:sz w:val="22"/>
        </w:rPr>
        <w:t>De BOR is al jarenlang voorwerp van discussie, dus ook van wijziging. Elk jaar verandert er wel weer iets. Ook per 1 januari aanstaande gaat weer een aantal zaken veranderen. Die veranderingen zijn soms erg gunstig, maar soms ook nadelig ten opzichte van de huidige regeling in 2024. Het is dus belangrijk om goed na te denken over een bedrijfsopvolging, en dan vooral over de planning daarvan. Dat speelt overigens alleen als u uw IB-onderneming tegen een zacht prijsje overdraagt aan met name uw kinderen, of in het geheel wil schenken. Het speelt niet zozeer als u uw onderneming of de aandelen in uw eigen bv onder zakelijke voorwaarden wilt verkopen.</w:t>
      </w:r>
    </w:p>
    <w:p w14:paraId="58A22933" w14:textId="77777777" w:rsidR="005360AF" w:rsidRPr="005360AF" w:rsidRDefault="005360AF" w:rsidP="005360AF">
      <w:pPr>
        <w:spacing w:before="0" w:after="0" w:line="264" w:lineRule="auto"/>
        <w:rPr>
          <w:rFonts w:ascii="Arial" w:eastAsia="Calibri" w:hAnsi="Arial" w:cs="Arial"/>
          <w:color w:val="auto"/>
          <w:sz w:val="22"/>
        </w:rPr>
      </w:pPr>
    </w:p>
    <w:p w14:paraId="60135ECC" w14:textId="77777777" w:rsidR="005360AF" w:rsidRPr="005360AF" w:rsidRDefault="005360AF" w:rsidP="005360AF">
      <w:pPr>
        <w:spacing w:before="0" w:after="0" w:line="264" w:lineRule="auto"/>
        <w:rPr>
          <w:rFonts w:ascii="Arial" w:eastAsia="Calibri" w:hAnsi="Arial" w:cs="Arial"/>
          <w:color w:val="auto"/>
          <w:sz w:val="22"/>
        </w:rPr>
      </w:pPr>
      <w:r w:rsidRPr="005360AF">
        <w:rPr>
          <w:rFonts w:ascii="Arial" w:eastAsia="Calibri" w:hAnsi="Arial" w:cs="Arial"/>
          <w:color w:val="auto"/>
          <w:sz w:val="22"/>
        </w:rPr>
        <w:t>Als dit aan de orde is, kunt het beste eerst een afspraak met uw NOAB-adviseur maken. De wijzigingen zijn namelijk best wel ingewikkeld. Maar hoe luidt een opsomming van de meest belangrijke aangekondigde wijzigingen voor IB-ondernemers:</w:t>
      </w:r>
    </w:p>
    <w:p w14:paraId="6228922C" w14:textId="77777777" w:rsidR="005360AF" w:rsidRPr="005360AF" w:rsidRDefault="005360AF" w:rsidP="005360AF">
      <w:pPr>
        <w:numPr>
          <w:ilvl w:val="0"/>
          <w:numId w:val="12"/>
        </w:numPr>
        <w:spacing w:before="0" w:after="0" w:line="264" w:lineRule="auto"/>
        <w:contextualSpacing/>
        <w:rPr>
          <w:rFonts w:ascii="Arial" w:eastAsia="Calibri" w:hAnsi="Arial" w:cs="Arial"/>
          <w:color w:val="auto"/>
          <w:sz w:val="22"/>
        </w:rPr>
      </w:pPr>
      <w:r w:rsidRPr="005360AF">
        <w:rPr>
          <w:rFonts w:ascii="Arial" w:eastAsia="Calibri" w:hAnsi="Arial" w:cs="Arial"/>
          <w:color w:val="auto"/>
          <w:sz w:val="22"/>
        </w:rPr>
        <w:t>de doelmatigheidsmarge wordt vanaf 1 januari 2025 afgeschaft;</w:t>
      </w:r>
    </w:p>
    <w:p w14:paraId="497C8890" w14:textId="77777777" w:rsidR="005360AF" w:rsidRPr="005360AF" w:rsidRDefault="005360AF" w:rsidP="005360AF">
      <w:pPr>
        <w:numPr>
          <w:ilvl w:val="0"/>
          <w:numId w:val="12"/>
        </w:numPr>
        <w:spacing w:before="0" w:after="0" w:line="264" w:lineRule="auto"/>
        <w:contextualSpacing/>
        <w:rPr>
          <w:rFonts w:ascii="Arial" w:eastAsia="Calibri" w:hAnsi="Arial" w:cs="Arial"/>
          <w:color w:val="auto"/>
          <w:sz w:val="22"/>
        </w:rPr>
      </w:pPr>
      <w:r w:rsidRPr="005360AF">
        <w:rPr>
          <w:rFonts w:ascii="Arial" w:eastAsia="Calibri" w:hAnsi="Arial" w:cs="Arial"/>
          <w:color w:val="auto"/>
          <w:sz w:val="22"/>
        </w:rPr>
        <w:t>bedrijfsmiddelen in de IB-onderneming die gemengd zakelijk en privé worden gebruikt, zijn alleen nog voor het zakelijke deel gunstig over te dragen;</w:t>
      </w:r>
    </w:p>
    <w:p w14:paraId="498FC957" w14:textId="77777777" w:rsidR="005360AF" w:rsidRPr="005360AF" w:rsidRDefault="005360AF" w:rsidP="005360AF">
      <w:pPr>
        <w:numPr>
          <w:ilvl w:val="0"/>
          <w:numId w:val="12"/>
        </w:numPr>
        <w:spacing w:before="0" w:after="0" w:line="264" w:lineRule="auto"/>
        <w:contextualSpacing/>
        <w:rPr>
          <w:rFonts w:ascii="Arial" w:eastAsia="Calibri" w:hAnsi="Arial" w:cs="Arial"/>
          <w:color w:val="auto"/>
          <w:sz w:val="22"/>
        </w:rPr>
      </w:pPr>
      <w:r w:rsidRPr="005360AF">
        <w:rPr>
          <w:rFonts w:ascii="Arial" w:eastAsia="Calibri" w:hAnsi="Arial" w:cs="Arial"/>
          <w:color w:val="auto"/>
          <w:sz w:val="22"/>
        </w:rPr>
        <w:lastRenderedPageBreak/>
        <w:t>vanaf 1 januari 2025 dient degene aan wie u uw onderneming geheel of gedeeltelijk schenkt, ten minste 21 jaar te zijn;</w:t>
      </w:r>
    </w:p>
    <w:p w14:paraId="2C2BDDF5" w14:textId="77777777" w:rsidR="005360AF" w:rsidRPr="005360AF" w:rsidRDefault="005360AF" w:rsidP="005360AF">
      <w:pPr>
        <w:numPr>
          <w:ilvl w:val="0"/>
          <w:numId w:val="12"/>
        </w:numPr>
        <w:spacing w:before="0" w:after="0" w:line="264" w:lineRule="auto"/>
        <w:contextualSpacing/>
        <w:rPr>
          <w:rFonts w:ascii="Arial" w:eastAsia="Calibri" w:hAnsi="Arial" w:cs="Arial"/>
          <w:color w:val="auto"/>
          <w:sz w:val="22"/>
        </w:rPr>
      </w:pPr>
      <w:r w:rsidRPr="005360AF">
        <w:rPr>
          <w:rFonts w:ascii="Arial" w:eastAsia="Calibri" w:hAnsi="Arial" w:cs="Arial"/>
          <w:color w:val="auto"/>
          <w:sz w:val="22"/>
        </w:rPr>
        <w:t xml:space="preserve">het bedrag dat voor de volle 100% aan ondernemingsvermogen is vrijgesteld wordt verhoogd tot € 1,5 </w:t>
      </w:r>
      <w:proofErr w:type="spellStart"/>
      <w:r w:rsidRPr="005360AF">
        <w:rPr>
          <w:rFonts w:ascii="Arial" w:eastAsia="Calibri" w:hAnsi="Arial" w:cs="Arial"/>
          <w:color w:val="auto"/>
          <w:sz w:val="22"/>
        </w:rPr>
        <w:t>mln</w:t>
      </w:r>
      <w:proofErr w:type="spellEnd"/>
      <w:r w:rsidRPr="005360AF">
        <w:rPr>
          <w:rFonts w:ascii="Arial" w:eastAsia="Calibri" w:hAnsi="Arial" w:cs="Arial"/>
          <w:color w:val="auto"/>
          <w:sz w:val="22"/>
        </w:rPr>
        <w:t xml:space="preserve">, het meerdere voor 75%. Dit jaar is dat nog ongeveer € 1,3 </w:t>
      </w:r>
      <w:proofErr w:type="spellStart"/>
      <w:r w:rsidRPr="005360AF">
        <w:rPr>
          <w:rFonts w:ascii="Arial" w:eastAsia="Calibri" w:hAnsi="Arial" w:cs="Arial"/>
          <w:color w:val="auto"/>
          <w:sz w:val="22"/>
        </w:rPr>
        <w:t>mln</w:t>
      </w:r>
      <w:proofErr w:type="spellEnd"/>
      <w:r w:rsidRPr="005360AF">
        <w:rPr>
          <w:rFonts w:ascii="Arial" w:eastAsia="Calibri" w:hAnsi="Arial" w:cs="Arial"/>
          <w:color w:val="auto"/>
          <w:sz w:val="22"/>
        </w:rPr>
        <w:t xml:space="preserve"> volledig en het meerdere voor 83%;</w:t>
      </w:r>
    </w:p>
    <w:p w14:paraId="29EEC131" w14:textId="77777777" w:rsidR="005360AF" w:rsidRPr="005360AF" w:rsidRDefault="005360AF" w:rsidP="005360AF">
      <w:pPr>
        <w:numPr>
          <w:ilvl w:val="0"/>
          <w:numId w:val="12"/>
        </w:numPr>
        <w:spacing w:before="0" w:after="0" w:line="264" w:lineRule="auto"/>
        <w:contextualSpacing/>
        <w:rPr>
          <w:rFonts w:ascii="Arial" w:eastAsia="Calibri" w:hAnsi="Arial" w:cs="Arial"/>
          <w:color w:val="auto"/>
          <w:sz w:val="22"/>
        </w:rPr>
      </w:pPr>
      <w:r w:rsidRPr="005360AF">
        <w:rPr>
          <w:rFonts w:ascii="Arial" w:eastAsia="Calibri" w:hAnsi="Arial" w:cs="Arial"/>
          <w:color w:val="auto"/>
          <w:sz w:val="22"/>
        </w:rPr>
        <w:t>de voortzettingstermijn, dat is de termijn dat de verkrijger de onderneming minimaal moet voortzetten, wordt volgend jaar verlaagd van 5 naar 3 jaar. Dat geldt echter alleen voor schenkingen van ondernemingen vanaf 2025.</w:t>
      </w:r>
    </w:p>
    <w:p w14:paraId="349D41DF" w14:textId="77777777" w:rsidR="005360AF" w:rsidRPr="005360AF" w:rsidRDefault="005360AF" w:rsidP="005360AF">
      <w:pPr>
        <w:spacing w:before="0" w:after="0" w:line="264" w:lineRule="auto"/>
        <w:contextualSpacing/>
        <w:rPr>
          <w:rFonts w:ascii="Arial" w:eastAsia="Calibri" w:hAnsi="Arial" w:cs="Arial"/>
          <w:color w:val="auto"/>
          <w:sz w:val="22"/>
        </w:rPr>
      </w:pPr>
    </w:p>
    <w:p w14:paraId="429434D7" w14:textId="77777777" w:rsidR="005360AF" w:rsidRPr="005360AF" w:rsidRDefault="005360AF" w:rsidP="005360AF">
      <w:pPr>
        <w:spacing w:before="0" w:after="0" w:line="264" w:lineRule="auto"/>
        <w:rPr>
          <w:rFonts w:ascii="Arial" w:eastAsia="Calibri" w:hAnsi="Arial" w:cs="Arial"/>
          <w:color w:val="auto"/>
          <w:sz w:val="22"/>
        </w:rPr>
      </w:pPr>
      <w:r w:rsidRPr="005360AF">
        <w:rPr>
          <w:rFonts w:ascii="Arial" w:eastAsia="Calibri" w:hAnsi="Arial" w:cs="Arial"/>
          <w:color w:val="auto"/>
          <w:sz w:val="22"/>
        </w:rPr>
        <w:t>Het is erg belangrijk dat u tijdig een mogelijk voornemen om uw onderneming over te dragen bij uw NOAB-adviseur aankaart. Het kan namelijk een aantal jaren duren, voordat uw onderneming helemaal geschikt is voor de BOR.</w:t>
      </w:r>
    </w:p>
    <w:p w14:paraId="69DBE1A6" w14:textId="77777777" w:rsidR="00B81C6F" w:rsidRPr="00B81C6F" w:rsidRDefault="00B81C6F" w:rsidP="00B81C6F">
      <w:pPr>
        <w:keepNext/>
        <w:keepLines/>
        <w:spacing w:before="360" w:after="120" w:line="259" w:lineRule="auto"/>
        <w:outlineLvl w:val="0"/>
        <w:rPr>
          <w:rFonts w:ascii="Arial" w:eastAsia="Times New Roman" w:hAnsi="Arial" w:cs="Arial"/>
          <w:szCs w:val="32"/>
        </w:rPr>
      </w:pPr>
      <w:r w:rsidRPr="00B81C6F">
        <w:rPr>
          <w:rFonts w:ascii="Arial" w:eastAsia="Times New Roman" w:hAnsi="Arial" w:cs="Arial"/>
          <w:szCs w:val="32"/>
        </w:rPr>
        <w:t>Aanpassing van de KOR in de omzetbelasting</w:t>
      </w:r>
    </w:p>
    <w:p w14:paraId="336C8B3A"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De zogenoemde Kleine Ondernemers Regeling (KOR) in de omzetbelasting wijzigt vanaf 1 januari 2025.</w:t>
      </w:r>
    </w:p>
    <w:p w14:paraId="6625F574" w14:textId="77777777" w:rsidR="00B81C6F" w:rsidRPr="00B81C6F" w:rsidRDefault="00B81C6F" w:rsidP="00B81C6F">
      <w:pPr>
        <w:spacing w:before="0" w:after="0" w:line="264" w:lineRule="auto"/>
        <w:rPr>
          <w:rFonts w:ascii="Arial" w:eastAsia="Calibri" w:hAnsi="Arial" w:cs="Arial"/>
          <w:color w:val="auto"/>
          <w:sz w:val="22"/>
        </w:rPr>
      </w:pPr>
    </w:p>
    <w:p w14:paraId="5946449F"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Zo vervalt de verplichte deelname van minimaal 3 jaar. Een ondernemer mag zich voortaan op elk willekeurig moment afmelden. Daarnaast geldt nu na afmelding een wachttijd van 3 jaar, wil iemand weer aan de KOR meedoen. Die uitsluitingsperiode wordt beperkt tot de rest van het kalenderjaar met het volle daarop volgende kalenderjaar.</w:t>
      </w:r>
    </w:p>
    <w:p w14:paraId="77C36DA9" w14:textId="77777777" w:rsidR="00B81C6F" w:rsidRPr="00B81C6F" w:rsidRDefault="00B81C6F" w:rsidP="00B81C6F">
      <w:pPr>
        <w:spacing w:before="0" w:after="0" w:line="264" w:lineRule="auto"/>
        <w:rPr>
          <w:rFonts w:ascii="Arial" w:eastAsia="Calibri" w:hAnsi="Arial" w:cs="Arial"/>
          <w:color w:val="auto"/>
          <w:sz w:val="22"/>
        </w:rPr>
      </w:pPr>
    </w:p>
    <w:p w14:paraId="1F52EDCC"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Aan- en afmelden kan vanaf 1 oktober 2024 overigens via “Mijn Belastingdienst Zakelijk”.</w:t>
      </w:r>
    </w:p>
    <w:p w14:paraId="4B797942" w14:textId="77777777" w:rsidR="00B81C6F" w:rsidRPr="00B81C6F" w:rsidRDefault="00B81C6F" w:rsidP="00B81C6F">
      <w:pPr>
        <w:spacing w:before="0" w:after="0" w:line="264" w:lineRule="auto"/>
        <w:rPr>
          <w:rFonts w:ascii="Arial" w:eastAsia="Calibri" w:hAnsi="Arial" w:cs="Arial"/>
          <w:color w:val="auto"/>
          <w:sz w:val="22"/>
        </w:rPr>
      </w:pPr>
    </w:p>
    <w:p w14:paraId="0E2DC421"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De KOR eindigt sowieso voor buitenlandse ondernemers met een vaste inrichting voor de btw in Nederland.</w:t>
      </w:r>
    </w:p>
    <w:p w14:paraId="0CC9CFBA" w14:textId="77777777" w:rsidR="00B81C6F" w:rsidRPr="00B81C6F" w:rsidRDefault="00B81C6F" w:rsidP="00B81C6F">
      <w:pPr>
        <w:spacing w:before="0" w:after="0" w:line="264" w:lineRule="auto"/>
        <w:rPr>
          <w:rFonts w:ascii="Arial" w:eastAsia="Calibri" w:hAnsi="Arial" w:cs="Arial"/>
          <w:color w:val="auto"/>
          <w:sz w:val="22"/>
        </w:rPr>
      </w:pPr>
    </w:p>
    <w:p w14:paraId="3532CCB7" w14:textId="77777777" w:rsidR="00B81C6F" w:rsidRPr="00B81C6F" w:rsidRDefault="00B81C6F" w:rsidP="00B81C6F">
      <w:pPr>
        <w:tabs>
          <w:tab w:val="num" w:pos="1440"/>
        </w:tabs>
        <w:spacing w:before="0" w:after="0" w:line="264" w:lineRule="auto"/>
        <w:rPr>
          <w:rFonts w:ascii="Arial" w:eastAsia="Calibri" w:hAnsi="Arial" w:cs="Arial"/>
          <w:color w:val="auto"/>
          <w:sz w:val="22"/>
        </w:rPr>
      </w:pPr>
      <w:r w:rsidRPr="00B81C6F">
        <w:rPr>
          <w:rFonts w:ascii="Arial" w:eastAsia="Calibri" w:hAnsi="Arial" w:cs="Arial"/>
          <w:color w:val="auto"/>
          <w:sz w:val="22"/>
        </w:rPr>
        <w:t>Daarnaast is het belangrijk om te vermelden dat er een EU-KOR komt. Tot 01 januari 2025 kunnen ondernemers die zijn gevestigd in Nederland alleen in Nederland de KOR toepassen. Met de EU-KOR kan men vanaf 2025 ook btw-vrijstelling krijgen voor één of meer EU-landen waar men zakendoet.</w:t>
      </w:r>
    </w:p>
    <w:p w14:paraId="78E46085" w14:textId="77777777" w:rsidR="00B81C6F" w:rsidRPr="00B81C6F" w:rsidRDefault="00B81C6F" w:rsidP="00B81C6F">
      <w:pPr>
        <w:tabs>
          <w:tab w:val="num" w:pos="1440"/>
        </w:tabs>
        <w:spacing w:before="0" w:after="0" w:line="264" w:lineRule="auto"/>
        <w:rPr>
          <w:rFonts w:ascii="Arial" w:eastAsia="Calibri" w:hAnsi="Arial" w:cs="Arial"/>
          <w:color w:val="auto"/>
          <w:sz w:val="22"/>
        </w:rPr>
      </w:pPr>
      <w:r w:rsidRPr="00B81C6F">
        <w:rPr>
          <w:rFonts w:ascii="Arial" w:eastAsia="Calibri" w:hAnsi="Arial" w:cs="Arial"/>
          <w:color w:val="auto"/>
          <w:sz w:val="22"/>
        </w:rPr>
        <w:t>Is men bijvoorbeeld KOR-deelnemer in Frankrijk, België en Italië, dan krijgt men btw-vrijstelling in deze drie landen. Maar men kan er ook voor kiezen om alleen in bijv. België aan EU-KOR mee te doen. Dan krijgt hij alleen in België btw-vrijstelling.</w:t>
      </w:r>
    </w:p>
    <w:p w14:paraId="6C57B890" w14:textId="77777777" w:rsidR="00B81C6F" w:rsidRPr="00B81C6F" w:rsidRDefault="00B81C6F" w:rsidP="00B81C6F">
      <w:pPr>
        <w:tabs>
          <w:tab w:val="num" w:pos="1440"/>
        </w:tabs>
        <w:spacing w:before="0" w:after="0" w:line="264" w:lineRule="auto"/>
        <w:rPr>
          <w:rFonts w:ascii="Arial" w:eastAsia="Calibri" w:hAnsi="Arial" w:cs="Arial"/>
          <w:color w:val="auto"/>
          <w:sz w:val="22"/>
        </w:rPr>
      </w:pPr>
    </w:p>
    <w:p w14:paraId="7C505C07" w14:textId="77777777" w:rsidR="00B81C6F" w:rsidRPr="00B81C6F" w:rsidRDefault="00B81C6F" w:rsidP="00B81C6F">
      <w:pPr>
        <w:tabs>
          <w:tab w:val="num" w:pos="1440"/>
        </w:tabs>
        <w:spacing w:before="0" w:after="0" w:line="264" w:lineRule="auto"/>
        <w:rPr>
          <w:rFonts w:ascii="Arial" w:eastAsia="Calibri" w:hAnsi="Arial" w:cs="Arial"/>
          <w:color w:val="auto"/>
          <w:sz w:val="22"/>
        </w:rPr>
      </w:pPr>
      <w:r w:rsidRPr="00B81C6F">
        <w:rPr>
          <w:rFonts w:ascii="Arial" w:eastAsia="Calibri" w:hAnsi="Arial" w:cs="Arial"/>
          <w:color w:val="auto"/>
          <w:sz w:val="22"/>
        </w:rPr>
        <w:t>Voor de EU-KOR moet men wel aan extra voorwaarden voldoen:</w:t>
      </w:r>
    </w:p>
    <w:p w14:paraId="59B84D3B" w14:textId="77777777" w:rsidR="00B81C6F" w:rsidRPr="005360AF" w:rsidRDefault="00B81C6F" w:rsidP="00B81C6F">
      <w:pPr>
        <w:pStyle w:val="Lijstalinea"/>
        <w:numPr>
          <w:ilvl w:val="0"/>
          <w:numId w:val="9"/>
        </w:numPr>
        <w:spacing w:after="0" w:line="264" w:lineRule="auto"/>
        <w:rPr>
          <w:rFonts w:eastAsia="Calibri" w:cs="Arial"/>
          <w:sz w:val="22"/>
        </w:rPr>
      </w:pPr>
      <w:r w:rsidRPr="005360AF">
        <w:rPr>
          <w:rFonts w:eastAsia="Calibri" w:cs="Arial"/>
          <w:sz w:val="22"/>
        </w:rPr>
        <w:t>de hoofdvestiging van de onderneming moet in Nederland zijn gevestigd;</w:t>
      </w:r>
    </w:p>
    <w:p w14:paraId="143D8339" w14:textId="77777777" w:rsidR="007D5B02" w:rsidRDefault="00B81C6F" w:rsidP="00B81C6F">
      <w:pPr>
        <w:pStyle w:val="Lijstalinea"/>
        <w:numPr>
          <w:ilvl w:val="0"/>
          <w:numId w:val="9"/>
        </w:numPr>
        <w:spacing w:after="0" w:line="264" w:lineRule="auto"/>
        <w:rPr>
          <w:rFonts w:eastAsia="Calibri" w:cs="Arial"/>
          <w:sz w:val="22"/>
        </w:rPr>
      </w:pPr>
      <w:r w:rsidRPr="005360AF">
        <w:rPr>
          <w:rFonts w:eastAsia="Calibri" w:cs="Arial"/>
          <w:sz w:val="22"/>
        </w:rPr>
        <w:t>de maximale jaaromzet bedraagt € 100.000 (in alle EU-landen, inclusief Nederland);</w:t>
      </w:r>
    </w:p>
    <w:p w14:paraId="5206D755" w14:textId="792B7BE9" w:rsidR="00B81C6F" w:rsidRPr="005360AF" w:rsidRDefault="00B81C6F" w:rsidP="00B81C6F">
      <w:pPr>
        <w:pStyle w:val="Lijstalinea"/>
        <w:numPr>
          <w:ilvl w:val="0"/>
          <w:numId w:val="9"/>
        </w:numPr>
        <w:spacing w:after="0" w:line="264" w:lineRule="auto"/>
        <w:rPr>
          <w:rFonts w:eastAsia="Calibri" w:cs="Arial"/>
          <w:sz w:val="22"/>
        </w:rPr>
      </w:pPr>
      <w:r w:rsidRPr="005360AF">
        <w:rPr>
          <w:rFonts w:eastAsia="Calibri" w:cs="Arial"/>
          <w:sz w:val="22"/>
        </w:rPr>
        <w:t>deelnemers van de EU-KOR moeten zich houden aan de nationale omzetgrens van het EU-land waar ze de btw-vrijstelling toepassen.</w:t>
      </w:r>
    </w:p>
    <w:p w14:paraId="6B7FA760" w14:textId="77777777" w:rsidR="00B81C6F" w:rsidRPr="00B81C6F" w:rsidRDefault="00B81C6F" w:rsidP="00B81C6F">
      <w:pPr>
        <w:spacing w:before="0" w:after="0" w:line="264" w:lineRule="auto"/>
        <w:rPr>
          <w:rFonts w:ascii="Arial" w:eastAsia="Calibri" w:hAnsi="Arial" w:cs="Arial"/>
          <w:color w:val="auto"/>
          <w:sz w:val="22"/>
        </w:rPr>
      </w:pPr>
    </w:p>
    <w:p w14:paraId="1B45035D"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De gevolgen van EU-KOR zijn als volgt:</w:t>
      </w:r>
    </w:p>
    <w:p w14:paraId="61C23C96" w14:textId="77777777" w:rsidR="00B81C6F" w:rsidRPr="005360AF" w:rsidRDefault="00B81C6F" w:rsidP="00B81C6F">
      <w:pPr>
        <w:pStyle w:val="Lijstalinea"/>
        <w:numPr>
          <w:ilvl w:val="0"/>
          <w:numId w:val="10"/>
        </w:numPr>
        <w:spacing w:after="0" w:line="264" w:lineRule="auto"/>
        <w:rPr>
          <w:rFonts w:eastAsia="Calibri" w:cs="Arial"/>
          <w:sz w:val="22"/>
        </w:rPr>
      </w:pPr>
      <w:r w:rsidRPr="005360AF">
        <w:rPr>
          <w:rFonts w:eastAsia="Calibri" w:cs="Arial"/>
          <w:sz w:val="22"/>
        </w:rPr>
        <w:t>als KOR-deelnemer berekent u geen btw aan klanten in andere EU-landen;</w:t>
      </w:r>
    </w:p>
    <w:p w14:paraId="0A1308CC" w14:textId="77777777" w:rsidR="00B81C6F" w:rsidRPr="005360AF" w:rsidRDefault="00B81C6F" w:rsidP="00B81C6F">
      <w:pPr>
        <w:pStyle w:val="Lijstalinea"/>
        <w:numPr>
          <w:ilvl w:val="0"/>
          <w:numId w:val="10"/>
        </w:numPr>
        <w:spacing w:after="0" w:line="264" w:lineRule="auto"/>
        <w:rPr>
          <w:rFonts w:eastAsia="Calibri" w:cs="Arial"/>
          <w:sz w:val="22"/>
        </w:rPr>
      </w:pPr>
      <w:r w:rsidRPr="005360AF">
        <w:rPr>
          <w:rFonts w:eastAsia="Calibri" w:cs="Arial"/>
          <w:sz w:val="22"/>
        </w:rPr>
        <w:lastRenderedPageBreak/>
        <w:t>u trekt daar ook geen btw af, ook niet voor kosten die u voor zijn leveringen heeft gemaakt;</w:t>
      </w:r>
    </w:p>
    <w:p w14:paraId="032BAF69" w14:textId="77777777" w:rsidR="00B81C6F" w:rsidRPr="005360AF" w:rsidRDefault="00B81C6F" w:rsidP="00B81C6F">
      <w:pPr>
        <w:pStyle w:val="Lijstalinea"/>
        <w:numPr>
          <w:ilvl w:val="0"/>
          <w:numId w:val="10"/>
        </w:numPr>
        <w:spacing w:after="0" w:line="264" w:lineRule="auto"/>
        <w:rPr>
          <w:rFonts w:eastAsia="Calibri" w:cs="Arial"/>
          <w:sz w:val="22"/>
        </w:rPr>
      </w:pPr>
      <w:r w:rsidRPr="005360AF">
        <w:rPr>
          <w:rFonts w:eastAsia="Calibri" w:cs="Arial"/>
          <w:sz w:val="22"/>
        </w:rPr>
        <w:t>u betaalt geen btw aan de Belastingdienst van land waar u zakendoet, u hoeft daar dus geen btw-aangifte te doen;</w:t>
      </w:r>
    </w:p>
    <w:p w14:paraId="25068B43" w14:textId="6EC12815" w:rsidR="00B81C6F" w:rsidRPr="005360AF" w:rsidRDefault="00B81C6F" w:rsidP="00B81C6F">
      <w:pPr>
        <w:pStyle w:val="Lijstalinea"/>
        <w:numPr>
          <w:ilvl w:val="0"/>
          <w:numId w:val="10"/>
        </w:numPr>
        <w:spacing w:after="0" w:line="264" w:lineRule="auto"/>
        <w:rPr>
          <w:rFonts w:eastAsia="Calibri" w:cs="Arial"/>
          <w:sz w:val="22"/>
        </w:rPr>
      </w:pPr>
      <w:r w:rsidRPr="005360AF">
        <w:rPr>
          <w:rFonts w:eastAsia="Calibri" w:cs="Arial"/>
          <w:sz w:val="22"/>
        </w:rPr>
        <w:t>u moet wel elk kwartaal opgaaf kwartaalomzet bij de Nederlandse Belastingdienst indienen. Dat is een overzicht van de omzet die u in een kwartaal in hele EU heeft behaald.</w:t>
      </w:r>
    </w:p>
    <w:p w14:paraId="07194DE7" w14:textId="77777777" w:rsidR="00B81C6F" w:rsidRPr="00B81C6F" w:rsidRDefault="00B81C6F" w:rsidP="00B81C6F">
      <w:pPr>
        <w:keepNext/>
        <w:keepLines/>
        <w:spacing w:before="360" w:after="120" w:line="259" w:lineRule="auto"/>
        <w:outlineLvl w:val="0"/>
        <w:rPr>
          <w:rFonts w:ascii="Arial" w:eastAsia="Times New Roman" w:hAnsi="Arial" w:cs="Arial"/>
          <w:szCs w:val="32"/>
        </w:rPr>
      </w:pPr>
      <w:r w:rsidRPr="00B81C6F">
        <w:rPr>
          <w:rFonts w:ascii="Arial" w:eastAsia="Times New Roman" w:hAnsi="Arial" w:cs="Arial"/>
          <w:szCs w:val="32"/>
        </w:rPr>
        <w:t>Andere maatregelen</w:t>
      </w:r>
    </w:p>
    <w:p w14:paraId="70CE521C" w14:textId="77777777"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 xml:space="preserve">Behalve bovenstaande maatregelen gaat nog een aantal fiscale zaken veranderen, die voor u als </w:t>
      </w:r>
      <w:proofErr w:type="spellStart"/>
      <w:r w:rsidRPr="00B81C6F">
        <w:rPr>
          <w:rFonts w:ascii="Arial" w:eastAsia="Calibri" w:hAnsi="Arial" w:cs="Arial"/>
          <w:color w:val="auto"/>
          <w:sz w:val="22"/>
        </w:rPr>
        <w:t>dga</w:t>
      </w:r>
      <w:proofErr w:type="spellEnd"/>
      <w:r w:rsidRPr="00B81C6F">
        <w:rPr>
          <w:rFonts w:ascii="Arial" w:eastAsia="Calibri" w:hAnsi="Arial" w:cs="Arial"/>
          <w:color w:val="auto"/>
          <w:sz w:val="22"/>
        </w:rPr>
        <w:t xml:space="preserve"> belangrijk kunnen zijn.</w:t>
      </w:r>
    </w:p>
    <w:p w14:paraId="7E0650B9" w14:textId="77777777" w:rsidR="00B81C6F" w:rsidRPr="005360AF" w:rsidRDefault="00B81C6F" w:rsidP="00B81C6F">
      <w:pPr>
        <w:pStyle w:val="Lijstalinea"/>
        <w:numPr>
          <w:ilvl w:val="0"/>
          <w:numId w:val="11"/>
        </w:numPr>
        <w:spacing w:after="0" w:line="264" w:lineRule="auto"/>
        <w:rPr>
          <w:rFonts w:eastAsia="Calibri" w:cs="Arial"/>
          <w:sz w:val="22"/>
        </w:rPr>
      </w:pPr>
      <w:r w:rsidRPr="005360AF">
        <w:rPr>
          <w:rFonts w:eastAsia="Calibri" w:cs="Arial"/>
          <w:sz w:val="22"/>
        </w:rPr>
        <w:t>In de box 3-heffing zijn helaas nóg meer onduidelijkheden en onzekerheden ontstaan. Zeker nadat de Hoge Raad heeft geoordeeld dat een particulier alleen maar box 3- belasting hoeft te betalen over zijn werkelijk rendement, althans als dat lager is dan het forfaitaire rendement. Daarbij levert vooral het begrip werkelijk rendement discussie op. Deze materie wordt steeds complexer en wordt echt maatwerk. Uw NOAB-adviseur kan u hier meer over vertellen, gegeven uw specifieke situatie.</w:t>
      </w:r>
    </w:p>
    <w:p w14:paraId="0F0B3731" w14:textId="77777777" w:rsidR="00B81C6F" w:rsidRPr="005360AF" w:rsidRDefault="00B81C6F" w:rsidP="00B81C6F">
      <w:pPr>
        <w:pStyle w:val="Lijstalinea"/>
        <w:numPr>
          <w:ilvl w:val="0"/>
          <w:numId w:val="11"/>
        </w:numPr>
        <w:spacing w:after="0" w:line="264" w:lineRule="auto"/>
        <w:rPr>
          <w:rFonts w:eastAsia="Calibri" w:cs="Arial"/>
          <w:sz w:val="22"/>
        </w:rPr>
      </w:pPr>
      <w:r w:rsidRPr="005360AF">
        <w:rPr>
          <w:rFonts w:eastAsia="Calibri" w:cs="Arial"/>
          <w:sz w:val="22"/>
        </w:rPr>
        <w:t>Het box 3-tarief bedraagt dit jaar 36%. Het zou volgend jaar worden verlaagd naar 34%, maar die verlaging gaat niet door. Het tarief blijft 36%.</w:t>
      </w:r>
    </w:p>
    <w:p w14:paraId="2D63C4D3" w14:textId="77777777" w:rsidR="00B81C6F" w:rsidRPr="005360AF" w:rsidRDefault="00B81C6F" w:rsidP="00B81C6F">
      <w:pPr>
        <w:pStyle w:val="Lijstalinea"/>
        <w:numPr>
          <w:ilvl w:val="0"/>
          <w:numId w:val="11"/>
        </w:numPr>
        <w:spacing w:after="0" w:line="264" w:lineRule="auto"/>
        <w:rPr>
          <w:rFonts w:eastAsia="Calibri" w:cs="Arial"/>
          <w:sz w:val="22"/>
        </w:rPr>
      </w:pPr>
      <w:r w:rsidRPr="005360AF">
        <w:rPr>
          <w:rFonts w:eastAsia="Calibri" w:cs="Arial"/>
          <w:sz w:val="22"/>
        </w:rPr>
        <w:t>De eerder aangekondigde herinvoering van de rode diesel voor de landbouw gaat ook niet door.</w:t>
      </w:r>
    </w:p>
    <w:p w14:paraId="1ADCB744" w14:textId="77777777" w:rsidR="00B81C6F" w:rsidRPr="005360AF" w:rsidRDefault="00B81C6F" w:rsidP="00B81C6F">
      <w:pPr>
        <w:pStyle w:val="Lijstalinea"/>
        <w:numPr>
          <w:ilvl w:val="0"/>
          <w:numId w:val="11"/>
        </w:numPr>
        <w:spacing w:after="0" w:line="264" w:lineRule="auto"/>
        <w:rPr>
          <w:rFonts w:eastAsia="Calibri" w:cs="Arial"/>
          <w:sz w:val="22"/>
        </w:rPr>
      </w:pPr>
      <w:r w:rsidRPr="005360AF">
        <w:rPr>
          <w:rFonts w:eastAsia="Calibri" w:cs="Arial"/>
          <w:sz w:val="22"/>
        </w:rPr>
        <w:t>De overdrachtsbelasting voor woningen waarin de koper niet zelf gaat wonen (beleggingswoningen), wordt in 2026 verlaagd van 10,4% naar 8%.</w:t>
      </w:r>
    </w:p>
    <w:p w14:paraId="4CDAC538" w14:textId="77777777" w:rsidR="00B81C6F" w:rsidRPr="005360AF" w:rsidRDefault="00B81C6F" w:rsidP="00B81C6F">
      <w:pPr>
        <w:pStyle w:val="Lijstalinea"/>
        <w:numPr>
          <w:ilvl w:val="0"/>
          <w:numId w:val="11"/>
        </w:numPr>
        <w:spacing w:after="0" w:line="264" w:lineRule="auto"/>
        <w:rPr>
          <w:rFonts w:eastAsia="Calibri" w:cs="Arial"/>
          <w:sz w:val="22"/>
        </w:rPr>
      </w:pPr>
      <w:r w:rsidRPr="005360AF">
        <w:rPr>
          <w:rFonts w:eastAsia="Calibri" w:cs="Arial"/>
          <w:sz w:val="22"/>
        </w:rPr>
        <w:t>De salderingsregeling voor zonnepanelen wordt met ingang van 2027 definitief afgeschaft.</w:t>
      </w:r>
    </w:p>
    <w:p w14:paraId="09145DA9" w14:textId="4F716920" w:rsidR="00B81C6F" w:rsidRPr="005360AF" w:rsidRDefault="00B81C6F" w:rsidP="00B81C6F">
      <w:pPr>
        <w:pStyle w:val="Lijstalinea"/>
        <w:numPr>
          <w:ilvl w:val="0"/>
          <w:numId w:val="11"/>
        </w:numPr>
        <w:spacing w:after="0" w:line="264" w:lineRule="auto"/>
        <w:rPr>
          <w:rFonts w:eastAsia="Calibri" w:cs="Arial"/>
          <w:sz w:val="22"/>
        </w:rPr>
      </w:pPr>
      <w:r w:rsidRPr="005360AF">
        <w:rPr>
          <w:rFonts w:eastAsia="Calibri" w:cs="Arial"/>
          <w:sz w:val="22"/>
        </w:rPr>
        <w:t>De 25% tariefkorting in de motorrijtuigenbelasting voor elektrische auto’s blijft geldig tot en met 2029.</w:t>
      </w:r>
    </w:p>
    <w:p w14:paraId="6D59D470" w14:textId="77777777" w:rsidR="00B81C6F" w:rsidRPr="00B81C6F" w:rsidRDefault="00B81C6F" w:rsidP="00B81C6F">
      <w:pPr>
        <w:keepNext/>
        <w:keepLines/>
        <w:spacing w:before="360" w:after="120" w:line="259" w:lineRule="auto"/>
        <w:outlineLvl w:val="0"/>
        <w:rPr>
          <w:rFonts w:ascii="Arial" w:eastAsia="Times New Roman" w:hAnsi="Arial" w:cs="Arial"/>
          <w:szCs w:val="32"/>
        </w:rPr>
      </w:pPr>
      <w:r w:rsidRPr="00B81C6F">
        <w:rPr>
          <w:rFonts w:ascii="Arial" w:eastAsia="Times New Roman" w:hAnsi="Arial" w:cs="Arial"/>
          <w:szCs w:val="32"/>
        </w:rPr>
        <w:t>Ten slotte</w:t>
      </w:r>
    </w:p>
    <w:p w14:paraId="2A37C7CC" w14:textId="4B434DE4" w:rsidR="00B81C6F" w:rsidRPr="00B81C6F" w:rsidRDefault="00B81C6F" w:rsidP="00B81C6F">
      <w:pPr>
        <w:spacing w:before="0" w:after="0" w:line="264" w:lineRule="auto"/>
        <w:rPr>
          <w:rFonts w:ascii="Arial" w:eastAsia="Calibri" w:hAnsi="Arial" w:cs="Arial"/>
          <w:color w:val="auto"/>
          <w:sz w:val="22"/>
        </w:rPr>
      </w:pPr>
      <w:r w:rsidRPr="00B81C6F">
        <w:rPr>
          <w:rFonts w:ascii="Arial" w:eastAsia="Calibri" w:hAnsi="Arial" w:cs="Arial"/>
          <w:color w:val="auto"/>
          <w:sz w:val="22"/>
        </w:rPr>
        <w:t>Deze notitie geeft de belangrijkste wijzigingen weer die op Prinsjesdag 202</w:t>
      </w:r>
      <w:r w:rsidR="00C330CC">
        <w:rPr>
          <w:rFonts w:ascii="Arial" w:eastAsia="Calibri" w:hAnsi="Arial" w:cs="Arial"/>
          <w:color w:val="auto"/>
          <w:sz w:val="22"/>
        </w:rPr>
        <w:t>4</w:t>
      </w:r>
      <w:r w:rsidRPr="00B81C6F">
        <w:rPr>
          <w:rFonts w:ascii="Arial" w:eastAsia="Calibri" w:hAnsi="Arial" w:cs="Arial"/>
          <w:color w:val="auto"/>
          <w:sz w:val="22"/>
        </w:rPr>
        <w:t xml:space="preserve"> bekend zijn gemaakt. En dan speciaal voor u, als IB-ondernemer.</w:t>
      </w:r>
    </w:p>
    <w:p w14:paraId="38F8A15F" w14:textId="77777777" w:rsidR="00B81C6F" w:rsidRPr="00B81C6F" w:rsidRDefault="00B81C6F" w:rsidP="00B81C6F">
      <w:pPr>
        <w:spacing w:before="0" w:after="0" w:line="264" w:lineRule="auto"/>
        <w:rPr>
          <w:rFonts w:ascii="Arial" w:eastAsia="Calibri" w:hAnsi="Arial" w:cs="Arial"/>
          <w:color w:val="auto"/>
          <w:sz w:val="22"/>
        </w:rPr>
      </w:pPr>
    </w:p>
    <w:p w14:paraId="08A061FD" w14:textId="3F6AAD26" w:rsidR="00B81C6F" w:rsidRPr="005360AF" w:rsidRDefault="00B81C6F" w:rsidP="00B81C6F">
      <w:pPr>
        <w:spacing w:before="0" w:after="0" w:line="264" w:lineRule="auto"/>
        <w:rPr>
          <w:rFonts w:ascii="Arial" w:eastAsia="Times New Roman" w:hAnsi="Arial" w:cs="Arial"/>
          <w:b/>
          <w:bCs/>
          <w:color w:val="FFFFFF" w:themeColor="background1"/>
          <w:sz w:val="24"/>
          <w:szCs w:val="24"/>
          <w:lang w:eastAsia="nl-NL"/>
        </w:rPr>
      </w:pPr>
      <w:r w:rsidRPr="00B81C6F">
        <w:rPr>
          <w:rFonts w:ascii="Arial" w:eastAsia="Calibri" w:hAnsi="Arial" w:cs="Arial"/>
          <w:color w:val="auto"/>
          <w:sz w:val="22"/>
        </w:rPr>
        <w:t>Maar het zijn algemene regels. Het spreekt voor zich dat uw NOAB-adviseur graag met u wilt bespreken wat dit nu precies in uw situatie voor gevolgen met zich meebrengt.</w:t>
      </w:r>
    </w:p>
    <w:sectPr w:rsidR="00B81C6F" w:rsidRPr="005360A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BEC55" w14:textId="77777777" w:rsidR="004C19F9" w:rsidRDefault="004C19F9" w:rsidP="004C19F9">
      <w:pPr>
        <w:spacing w:before="0" w:after="0" w:line="240" w:lineRule="auto"/>
      </w:pPr>
      <w:r>
        <w:separator/>
      </w:r>
    </w:p>
  </w:endnote>
  <w:endnote w:type="continuationSeparator" w:id="0">
    <w:p w14:paraId="2BA9AF14" w14:textId="77777777" w:rsidR="004C19F9" w:rsidRDefault="004C19F9" w:rsidP="004C19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Khand">
    <w:altName w:val="Nirmala UI"/>
    <w:panose1 w:val="020000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Condensed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Roboto Condensed Light" w:hAnsi="Roboto Condensed Light"/>
        <w:sz w:val="18"/>
        <w:szCs w:val="18"/>
      </w:rPr>
      <w:id w:val="2135137343"/>
      <w:docPartObj>
        <w:docPartGallery w:val="Page Numbers (Bottom of Page)"/>
        <w:docPartUnique/>
      </w:docPartObj>
    </w:sdtPr>
    <w:sdtEndPr>
      <w:rPr>
        <w:rFonts w:ascii="Arial" w:hAnsi="Arial"/>
        <w:sz w:val="21"/>
        <w:szCs w:val="22"/>
      </w:rPr>
    </w:sdtEndPr>
    <w:sdtContent>
      <w:p w14:paraId="14F48C56" w14:textId="1E79BF07" w:rsidR="00900AD4" w:rsidRDefault="00900AD4">
        <w:pPr>
          <w:pStyle w:val="Voettekst"/>
          <w:jc w:val="right"/>
        </w:pPr>
        <w:r>
          <w:fldChar w:fldCharType="begin"/>
        </w:r>
        <w:r>
          <w:instrText>PAGE   \* MERGEFORMAT</w:instrText>
        </w:r>
        <w:r>
          <w:fldChar w:fldCharType="separate"/>
        </w:r>
        <w:r>
          <w:t>2</w:t>
        </w:r>
        <w:r>
          <w:fldChar w:fldCharType="end"/>
        </w:r>
      </w:p>
    </w:sdtContent>
  </w:sdt>
  <w:p w14:paraId="772F7461" w14:textId="31FB68E9" w:rsidR="00900AD4" w:rsidRPr="00900AD4" w:rsidRDefault="00900AD4">
    <w:pPr>
      <w:pStyle w:val="Voettekst"/>
      <w:rPr>
        <w:rFonts w:ascii="Roboto Condensed Light" w:hAnsi="Roboto Condensed Light"/>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EA1ED" w14:textId="77777777" w:rsidR="004C19F9" w:rsidRDefault="004C19F9" w:rsidP="004C19F9">
      <w:pPr>
        <w:spacing w:before="0" w:after="0" w:line="240" w:lineRule="auto"/>
      </w:pPr>
      <w:r>
        <w:separator/>
      </w:r>
    </w:p>
  </w:footnote>
  <w:footnote w:type="continuationSeparator" w:id="0">
    <w:p w14:paraId="1297D0F2" w14:textId="77777777" w:rsidR="004C19F9" w:rsidRDefault="004C19F9" w:rsidP="004C19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68384" w14:textId="5F2BB263" w:rsidR="004C19F9" w:rsidRDefault="007C1A01" w:rsidP="004C19F9">
    <w:r>
      <w:rPr>
        <w:noProof/>
      </w:rPr>
      <mc:AlternateContent>
        <mc:Choice Requires="wps">
          <w:drawing>
            <wp:anchor distT="45720" distB="45720" distL="114300" distR="114300" simplePos="0" relativeHeight="251658240" behindDoc="0" locked="0" layoutInCell="1" allowOverlap="1" wp14:anchorId="5BC2DD71" wp14:editId="42FA27B2">
              <wp:simplePos x="0" y="0"/>
              <wp:positionH relativeFrom="column">
                <wp:posOffset>871855</wp:posOffset>
              </wp:positionH>
              <wp:positionV relativeFrom="paragraph">
                <wp:posOffset>-192405</wp:posOffset>
              </wp:positionV>
              <wp:extent cx="5181600" cy="628650"/>
              <wp:effectExtent l="0" t="0" r="0" b="0"/>
              <wp:wrapSquare wrapText="bothSides"/>
              <wp:docPr id="5090487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28650"/>
                      </a:xfrm>
                      <a:prstGeom prst="rect">
                        <a:avLst/>
                      </a:prstGeom>
                      <a:solidFill>
                        <a:srgbClr val="E9E9E9"/>
                      </a:solidFill>
                      <a:ln w="9525">
                        <a:noFill/>
                        <a:miter lim="800000"/>
                        <a:headEnd/>
                        <a:tailEnd/>
                      </a:ln>
                    </wps:spPr>
                    <wps:txbx>
                      <w:txbxContent>
                        <w:p w14:paraId="434DEB6C" w14:textId="1A0FAFB6" w:rsidR="004C19F9" w:rsidRPr="009D6520" w:rsidRDefault="007C1A01">
                          <w:pPr>
                            <w:rPr>
                              <w:rFonts w:cs="Khand"/>
                              <w:color w:val="000000"/>
                              <w:sz w:val="40"/>
                              <w:szCs w:val="40"/>
                            </w:rPr>
                          </w:pPr>
                          <w:r>
                            <w:rPr>
                              <w:rFonts w:cs="Khand"/>
                              <w:color w:val="000000"/>
                              <w:sz w:val="40"/>
                              <w:szCs w:val="40"/>
                            </w:rPr>
                            <w:t>Prinsjesdag special</w:t>
                          </w:r>
                          <w:r w:rsidR="00900AD4">
                            <w:rPr>
                              <w:rFonts w:cs="Khand"/>
                              <w:color w:val="000000"/>
                              <w:sz w:val="40"/>
                              <w:szCs w:val="40"/>
                            </w:rPr>
                            <w:t xml:space="preserve"> </w:t>
                          </w:r>
                          <w:r w:rsidR="00B81C6F">
                            <w:rPr>
                              <w:rFonts w:cs="Khand"/>
                              <w:color w:val="000000"/>
                              <w:sz w:val="40"/>
                              <w:szCs w:val="40"/>
                            </w:rPr>
                            <w:t>IB-ondernemers</w:t>
                          </w:r>
                          <w:r>
                            <w:rPr>
                              <w:rFonts w:cs="Khand"/>
                              <w:color w:val="000000"/>
                              <w:sz w:val="40"/>
                              <w:szCs w:val="40"/>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2DD71" id="_x0000_t202" coordsize="21600,21600" o:spt="202" path="m,l,21600r21600,l21600,xe">
              <v:stroke joinstyle="miter"/>
              <v:path gradientshapeok="t" o:connecttype="rect"/>
            </v:shapetype>
            <v:shape id="Tekstvak 2" o:spid="_x0000_s1026" type="#_x0000_t202" style="position:absolute;margin-left:68.65pt;margin-top:-15.15pt;width:408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" fillcolor="#e9e9e9" stroked="f">
              <v:textbox>
                <w:txbxContent>
                  <w:p w14:paraId="434DEB6C" w14:textId="1A0FAFB6" w:rsidR="004C19F9" w:rsidRPr="009D6520" w:rsidRDefault="007C1A01">
                    <w:pPr>
                      <w:rPr>
                        <w:rFonts w:cs="Khand"/>
                        <w:color w:val="000000"/>
                        <w:sz w:val="40"/>
                        <w:szCs w:val="40"/>
                      </w:rPr>
                    </w:pPr>
                    <w:r>
                      <w:rPr>
                        <w:rFonts w:cs="Khand"/>
                        <w:color w:val="000000"/>
                        <w:sz w:val="40"/>
                        <w:szCs w:val="40"/>
                      </w:rPr>
                      <w:t>Prinsjesdag special</w:t>
                    </w:r>
                    <w:r w:rsidR="00900AD4">
                      <w:rPr>
                        <w:rFonts w:cs="Khand"/>
                        <w:color w:val="000000"/>
                        <w:sz w:val="40"/>
                        <w:szCs w:val="40"/>
                      </w:rPr>
                      <w:t xml:space="preserve"> </w:t>
                    </w:r>
                    <w:r w:rsidR="00B81C6F">
                      <w:rPr>
                        <w:rFonts w:cs="Khand"/>
                        <w:color w:val="000000"/>
                        <w:sz w:val="40"/>
                        <w:szCs w:val="40"/>
                      </w:rPr>
                      <w:t>IB-ondernemers</w:t>
                    </w:r>
                    <w:r>
                      <w:rPr>
                        <w:rFonts w:cs="Khand"/>
                        <w:color w:val="000000"/>
                        <w:sz w:val="40"/>
                        <w:szCs w:val="40"/>
                      </w:rPr>
                      <w:t xml:space="preserve"> 2024</w:t>
                    </w:r>
                  </w:p>
                </w:txbxContent>
              </v:textbox>
              <w10:wrap type="square"/>
            </v:shape>
          </w:pict>
        </mc:Fallback>
      </mc:AlternateContent>
    </w:r>
    <w:r w:rsidR="009D6520">
      <w:rPr>
        <w:noProof/>
      </w:rPr>
      <mc:AlternateContent>
        <mc:Choice Requires="wps">
          <w:drawing>
            <wp:anchor distT="45720" distB="45720" distL="114300" distR="114300" simplePos="0" relativeHeight="251660288" behindDoc="0" locked="0" layoutInCell="1" allowOverlap="1" wp14:anchorId="188F1357" wp14:editId="0C8FA046">
              <wp:simplePos x="0" y="0"/>
              <wp:positionH relativeFrom="margin">
                <wp:align>left</wp:align>
              </wp:positionH>
              <wp:positionV relativeFrom="paragraph">
                <wp:posOffset>-497205</wp:posOffset>
              </wp:positionV>
              <wp:extent cx="752475" cy="1057275"/>
              <wp:effectExtent l="0" t="0" r="28575" b="28575"/>
              <wp:wrapSquare wrapText="bothSides"/>
              <wp:docPr id="19974094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057275"/>
                      </a:xfrm>
                      <a:prstGeom prst="rect">
                        <a:avLst/>
                      </a:prstGeom>
                      <a:solidFill>
                        <a:srgbClr val="E9E9E9"/>
                      </a:solidFill>
                      <a:ln w="9525">
                        <a:solidFill>
                          <a:srgbClr val="E9E9E9"/>
                        </a:solidFill>
                        <a:miter lim="800000"/>
                        <a:headEnd/>
                        <a:tailEnd/>
                      </a:ln>
                    </wps:spPr>
                    <wps:txbx>
                      <w:txbxContent>
                        <w:p w14:paraId="63E3923F" w14:textId="7BC10A0C" w:rsidR="004C19F9" w:rsidRDefault="009D6520">
                          <w:r>
                            <w:rPr>
                              <w:noProof/>
                            </w:rPr>
                            <w:drawing>
                              <wp:inline distT="0" distB="0" distL="0" distR="0" wp14:anchorId="37BF6EEC" wp14:editId="5D3BF05C">
                                <wp:extent cx="551815" cy="737870"/>
                                <wp:effectExtent l="0" t="0" r="635" b="0"/>
                                <wp:docPr id="755796790" name="Afbeelding 2" descr="Afbeelding met Lettertype, Graphics, sinaasapp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96790" name="Afbeelding 2" descr="Afbeelding met Lettertype, Graphics, sinaasappel,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737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F1357" id="_x0000_s1027" type="#_x0000_t202" style="position:absolute;margin-left:0;margin-top:-39.15pt;width:59.25pt;height:8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" fillcolor="#e9e9e9" strokecolor="#e9e9e9">
              <v:textbox>
                <w:txbxContent>
                  <w:p w14:paraId="63E3923F" w14:textId="7BC10A0C" w:rsidR="004C19F9" w:rsidRDefault="009D6520">
                    <w:r>
                      <w:rPr>
                        <w:noProof/>
                      </w:rPr>
                      <w:drawing>
                        <wp:inline distT="0" distB="0" distL="0" distR="0" wp14:anchorId="37BF6EEC" wp14:editId="5D3BF05C">
                          <wp:extent cx="551815" cy="737870"/>
                          <wp:effectExtent l="0" t="0" r="635" b="0"/>
                          <wp:docPr id="755796790" name="Afbeelding 2" descr="Afbeelding met Lettertype, Graphics, sinaasapp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96790" name="Afbeelding 2" descr="Afbeelding met Lettertype, Graphics, sinaasappel, ontwerp&#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37870"/>
                                  </a:xfrm>
                                  <a:prstGeom prst="rect">
                                    <a:avLst/>
                                  </a:prstGeom>
                                  <a:noFill/>
                                  <a:ln>
                                    <a:noFill/>
                                  </a:ln>
                                </pic:spPr>
                              </pic:pic>
                            </a:graphicData>
                          </a:graphic>
                        </wp:inline>
                      </w:drawing>
                    </w:r>
                  </w:p>
                </w:txbxContent>
              </v:textbox>
              <w10:wrap type="square" anchorx="margin"/>
            </v:shape>
          </w:pict>
        </mc:Fallback>
      </mc:AlternateContent>
    </w:r>
    <w:r w:rsidR="009D6520">
      <w:rPr>
        <w:noProof/>
      </w:rPr>
      <mc:AlternateContent>
        <mc:Choice Requires="wps">
          <w:drawing>
            <wp:anchor distT="45720" distB="45720" distL="114300" distR="114300" simplePos="0" relativeHeight="251656192" behindDoc="0" locked="0" layoutInCell="1" allowOverlap="1" wp14:anchorId="089B3F5D" wp14:editId="14A830F1">
              <wp:simplePos x="0" y="0"/>
              <wp:positionH relativeFrom="page">
                <wp:posOffset>-304800</wp:posOffset>
              </wp:positionH>
              <wp:positionV relativeFrom="paragraph">
                <wp:posOffset>-516255</wp:posOffset>
              </wp:positionV>
              <wp:extent cx="8258175" cy="1104900"/>
              <wp:effectExtent l="0" t="0" r="952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8175" cy="1104900"/>
                      </a:xfrm>
                      <a:prstGeom prst="rect">
                        <a:avLst/>
                      </a:prstGeom>
                      <a:solidFill>
                        <a:srgbClr val="E9E9E9"/>
                      </a:solidFill>
                      <a:ln w="9525">
                        <a:noFill/>
                        <a:miter lim="800000"/>
                        <a:headEnd/>
                        <a:tailEnd/>
                      </a:ln>
                    </wps:spPr>
                    <wps:txbx>
                      <w:txbxContent>
                        <w:p w14:paraId="42CB8BF0" w14:textId="41FF75C1" w:rsidR="004C19F9" w:rsidRDefault="004C19F9" w:rsidP="004C19F9">
                          <w:pPr>
                            <w:shd w:val="clear" w:color="auto" w:fill="E8E8E8" w:themeFill="background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B3F5D" id="_x0000_s1028" type="#_x0000_t202" style="position:absolute;margin-left:-24pt;margin-top:-40.65pt;width:650.25pt;height:87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" fillcolor="#e9e9e9" stroked="f">
              <v:textbox>
                <w:txbxContent>
                  <w:p w14:paraId="42CB8BF0" w14:textId="41FF75C1" w:rsidR="004C19F9" w:rsidRDefault="004C19F9" w:rsidP="004C19F9">
                    <w:pPr>
                      <w:shd w:val="clear" w:color="auto" w:fill="E8E8E8" w:themeFill="background2"/>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21E02"/>
    <w:multiLevelType w:val="hybridMultilevel"/>
    <w:tmpl w:val="C12C3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A97601"/>
    <w:multiLevelType w:val="hybridMultilevel"/>
    <w:tmpl w:val="82CEB1EE"/>
    <w:lvl w:ilvl="0" w:tplc="22801172">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133C94"/>
    <w:multiLevelType w:val="hybridMultilevel"/>
    <w:tmpl w:val="575E1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3F5646"/>
    <w:multiLevelType w:val="hybridMultilevel"/>
    <w:tmpl w:val="3E721DFE"/>
    <w:lvl w:ilvl="0" w:tplc="3FEEE44E">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2078A3"/>
    <w:multiLevelType w:val="hybridMultilevel"/>
    <w:tmpl w:val="CF045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6B2D27"/>
    <w:multiLevelType w:val="hybridMultilevel"/>
    <w:tmpl w:val="D60C1DDC"/>
    <w:lvl w:ilvl="0" w:tplc="FEF47D96">
      <w:start w:val="1"/>
      <w:numFmt w:val="bullet"/>
      <w:lvlText w:val=""/>
      <w:lvlJc w:val="left"/>
      <w:pPr>
        <w:tabs>
          <w:tab w:val="num" w:pos="360"/>
        </w:tabs>
        <w:ind w:left="360" w:hanging="360"/>
      </w:pPr>
      <w:rPr>
        <w:rFonts w:ascii="Symbol" w:hAnsi="Symbol" w:hint="default"/>
      </w:rPr>
    </w:lvl>
    <w:lvl w:ilvl="1" w:tplc="6CDCD0B0">
      <w:start w:val="1"/>
      <w:numFmt w:val="bullet"/>
      <w:lvlText w:val=""/>
      <w:lvlJc w:val="left"/>
      <w:pPr>
        <w:tabs>
          <w:tab w:val="num" w:pos="1080"/>
        </w:tabs>
        <w:ind w:left="1080" w:hanging="360"/>
      </w:pPr>
      <w:rPr>
        <w:rFonts w:ascii="Symbol" w:hAnsi="Symbol" w:hint="default"/>
      </w:rPr>
    </w:lvl>
    <w:lvl w:ilvl="2" w:tplc="A440B54A" w:tentative="1">
      <w:start w:val="1"/>
      <w:numFmt w:val="bullet"/>
      <w:lvlText w:val=""/>
      <w:lvlJc w:val="left"/>
      <w:pPr>
        <w:tabs>
          <w:tab w:val="num" w:pos="1800"/>
        </w:tabs>
        <w:ind w:left="1800" w:hanging="360"/>
      </w:pPr>
      <w:rPr>
        <w:rFonts w:ascii="Symbol" w:hAnsi="Symbol" w:hint="default"/>
      </w:rPr>
    </w:lvl>
    <w:lvl w:ilvl="3" w:tplc="5C40904E" w:tentative="1">
      <w:start w:val="1"/>
      <w:numFmt w:val="bullet"/>
      <w:lvlText w:val=""/>
      <w:lvlJc w:val="left"/>
      <w:pPr>
        <w:tabs>
          <w:tab w:val="num" w:pos="2520"/>
        </w:tabs>
        <w:ind w:left="2520" w:hanging="360"/>
      </w:pPr>
      <w:rPr>
        <w:rFonts w:ascii="Symbol" w:hAnsi="Symbol" w:hint="default"/>
      </w:rPr>
    </w:lvl>
    <w:lvl w:ilvl="4" w:tplc="8D8E25F0" w:tentative="1">
      <w:start w:val="1"/>
      <w:numFmt w:val="bullet"/>
      <w:lvlText w:val=""/>
      <w:lvlJc w:val="left"/>
      <w:pPr>
        <w:tabs>
          <w:tab w:val="num" w:pos="3240"/>
        </w:tabs>
        <w:ind w:left="3240" w:hanging="360"/>
      </w:pPr>
      <w:rPr>
        <w:rFonts w:ascii="Symbol" w:hAnsi="Symbol" w:hint="default"/>
      </w:rPr>
    </w:lvl>
    <w:lvl w:ilvl="5" w:tplc="DA9E5EF2" w:tentative="1">
      <w:start w:val="1"/>
      <w:numFmt w:val="bullet"/>
      <w:lvlText w:val=""/>
      <w:lvlJc w:val="left"/>
      <w:pPr>
        <w:tabs>
          <w:tab w:val="num" w:pos="3960"/>
        </w:tabs>
        <w:ind w:left="3960" w:hanging="360"/>
      </w:pPr>
      <w:rPr>
        <w:rFonts w:ascii="Symbol" w:hAnsi="Symbol" w:hint="default"/>
      </w:rPr>
    </w:lvl>
    <w:lvl w:ilvl="6" w:tplc="DF488838" w:tentative="1">
      <w:start w:val="1"/>
      <w:numFmt w:val="bullet"/>
      <w:lvlText w:val=""/>
      <w:lvlJc w:val="left"/>
      <w:pPr>
        <w:tabs>
          <w:tab w:val="num" w:pos="4680"/>
        </w:tabs>
        <w:ind w:left="4680" w:hanging="360"/>
      </w:pPr>
      <w:rPr>
        <w:rFonts w:ascii="Symbol" w:hAnsi="Symbol" w:hint="default"/>
      </w:rPr>
    </w:lvl>
    <w:lvl w:ilvl="7" w:tplc="500EC13E" w:tentative="1">
      <w:start w:val="1"/>
      <w:numFmt w:val="bullet"/>
      <w:lvlText w:val=""/>
      <w:lvlJc w:val="left"/>
      <w:pPr>
        <w:tabs>
          <w:tab w:val="num" w:pos="5400"/>
        </w:tabs>
        <w:ind w:left="5400" w:hanging="360"/>
      </w:pPr>
      <w:rPr>
        <w:rFonts w:ascii="Symbol" w:hAnsi="Symbol" w:hint="default"/>
      </w:rPr>
    </w:lvl>
    <w:lvl w:ilvl="8" w:tplc="06B009A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A134A1C"/>
    <w:multiLevelType w:val="hybridMultilevel"/>
    <w:tmpl w:val="D52A3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2E5A24"/>
    <w:multiLevelType w:val="hybridMultilevel"/>
    <w:tmpl w:val="DB7E0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AC7D14"/>
    <w:multiLevelType w:val="hybridMultilevel"/>
    <w:tmpl w:val="8C82E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765E6B"/>
    <w:multiLevelType w:val="hybridMultilevel"/>
    <w:tmpl w:val="D520CB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CF44E4E"/>
    <w:multiLevelType w:val="hybridMultilevel"/>
    <w:tmpl w:val="A5C2A2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EB1867"/>
    <w:multiLevelType w:val="hybridMultilevel"/>
    <w:tmpl w:val="950A2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9979107">
    <w:abstractNumId w:val="0"/>
  </w:num>
  <w:num w:numId="2" w16cid:durableId="495462110">
    <w:abstractNumId w:val="10"/>
  </w:num>
  <w:num w:numId="3" w16cid:durableId="691347012">
    <w:abstractNumId w:val="8"/>
  </w:num>
  <w:num w:numId="4" w16cid:durableId="1749647262">
    <w:abstractNumId w:val="3"/>
  </w:num>
  <w:num w:numId="5" w16cid:durableId="883713551">
    <w:abstractNumId w:val="6"/>
  </w:num>
  <w:num w:numId="6" w16cid:durableId="1348214015">
    <w:abstractNumId w:val="7"/>
  </w:num>
  <w:num w:numId="7" w16cid:durableId="2020966210">
    <w:abstractNumId w:val="5"/>
  </w:num>
  <w:num w:numId="8" w16cid:durableId="1425803969">
    <w:abstractNumId w:val="1"/>
  </w:num>
  <w:num w:numId="9" w16cid:durableId="81605248">
    <w:abstractNumId w:val="4"/>
  </w:num>
  <w:num w:numId="10" w16cid:durableId="1506554215">
    <w:abstractNumId w:val="11"/>
  </w:num>
  <w:num w:numId="11" w16cid:durableId="23941929">
    <w:abstractNumId w:val="2"/>
  </w:num>
  <w:num w:numId="12" w16cid:durableId="2092198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F9"/>
    <w:rsid w:val="00017B21"/>
    <w:rsid w:val="00186DD2"/>
    <w:rsid w:val="00223787"/>
    <w:rsid w:val="00243391"/>
    <w:rsid w:val="0032648F"/>
    <w:rsid w:val="004C19F9"/>
    <w:rsid w:val="005241E0"/>
    <w:rsid w:val="005360AF"/>
    <w:rsid w:val="00552B9F"/>
    <w:rsid w:val="005A5FB2"/>
    <w:rsid w:val="006A4EAB"/>
    <w:rsid w:val="00702C9E"/>
    <w:rsid w:val="007C1A01"/>
    <w:rsid w:val="007D5B02"/>
    <w:rsid w:val="00900AD4"/>
    <w:rsid w:val="009D6520"/>
    <w:rsid w:val="00A20DF9"/>
    <w:rsid w:val="00A9496D"/>
    <w:rsid w:val="00B43F92"/>
    <w:rsid w:val="00B81C6F"/>
    <w:rsid w:val="00BD009B"/>
    <w:rsid w:val="00C05B67"/>
    <w:rsid w:val="00C330CC"/>
    <w:rsid w:val="00CA1927"/>
    <w:rsid w:val="00EB4B89"/>
    <w:rsid w:val="00F14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58C5C0"/>
  <w15:chartTrackingRefBased/>
  <w15:docId w15:val="{D771D47E-E5DA-47FB-B002-535F049A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ussenkop"/>
    <w:qFormat/>
    <w:rsid w:val="009D6520"/>
    <w:pPr>
      <w:spacing w:before="240" w:after="60" w:line="278" w:lineRule="auto"/>
    </w:pPr>
    <w:rPr>
      <w:rFonts w:ascii="Khand" w:hAnsi="Khand"/>
      <w:color w:val="FF8200"/>
      <w:kern w:val="0"/>
      <w:sz w:val="32"/>
      <w14:ligatures w14:val="none"/>
    </w:rPr>
  </w:style>
  <w:style w:type="paragraph" w:styleId="Kop1">
    <w:name w:val="heading 1"/>
    <w:basedOn w:val="Standaard"/>
    <w:next w:val="Standaard"/>
    <w:link w:val="Kop1Char"/>
    <w:uiPriority w:val="9"/>
    <w:qFormat/>
    <w:rsid w:val="004C19F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9F9"/>
    <w:pPr>
      <w:keepNext/>
      <w:keepLines/>
      <w:spacing w:before="160" w:after="80" w:line="259" w:lineRule="auto"/>
      <w:outlineLvl w:val="1"/>
    </w:pPr>
    <w:rPr>
      <w:rFonts w:asciiTheme="majorHAnsi" w:eastAsiaTheme="majorEastAsia" w:hAnsiTheme="majorHAnsi" w:cstheme="majorBidi"/>
      <w:color w:val="0F4761" w:themeColor="accent1" w:themeShade="BF"/>
      <w:szCs w:val="32"/>
    </w:rPr>
  </w:style>
  <w:style w:type="paragraph" w:styleId="Kop3">
    <w:name w:val="heading 3"/>
    <w:basedOn w:val="Standaard"/>
    <w:next w:val="Standaard"/>
    <w:link w:val="Kop3Char"/>
    <w:uiPriority w:val="9"/>
    <w:semiHidden/>
    <w:unhideWhenUsed/>
    <w:qFormat/>
    <w:rsid w:val="004C19F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9F9"/>
    <w:pPr>
      <w:keepNext/>
      <w:keepLines/>
      <w:spacing w:before="80" w:after="40" w:line="259" w:lineRule="auto"/>
      <w:outlineLvl w:val="3"/>
    </w:pPr>
    <w:rPr>
      <w:rFonts w:asciiTheme="minorHAnsi" w:eastAsiaTheme="majorEastAsia" w:hAnsiTheme="minorHAnsi" w:cstheme="majorBidi"/>
      <w:i/>
      <w:iCs/>
      <w:color w:val="0F4761" w:themeColor="accent1" w:themeShade="BF"/>
      <w:sz w:val="21"/>
    </w:rPr>
  </w:style>
  <w:style w:type="paragraph" w:styleId="Kop5">
    <w:name w:val="heading 5"/>
    <w:basedOn w:val="Standaard"/>
    <w:next w:val="Standaard"/>
    <w:link w:val="Kop5Char"/>
    <w:uiPriority w:val="9"/>
    <w:semiHidden/>
    <w:unhideWhenUsed/>
    <w:qFormat/>
    <w:rsid w:val="004C19F9"/>
    <w:pPr>
      <w:keepNext/>
      <w:keepLines/>
      <w:spacing w:before="80" w:after="40" w:line="259" w:lineRule="auto"/>
      <w:outlineLvl w:val="4"/>
    </w:pPr>
    <w:rPr>
      <w:rFonts w:asciiTheme="minorHAnsi" w:eastAsiaTheme="majorEastAsia" w:hAnsiTheme="minorHAnsi" w:cstheme="majorBidi"/>
      <w:color w:val="0F4761" w:themeColor="accent1" w:themeShade="BF"/>
      <w:sz w:val="21"/>
    </w:rPr>
  </w:style>
  <w:style w:type="paragraph" w:styleId="Kop6">
    <w:name w:val="heading 6"/>
    <w:basedOn w:val="Standaard"/>
    <w:next w:val="Standaard"/>
    <w:link w:val="Kop6Char"/>
    <w:uiPriority w:val="9"/>
    <w:semiHidden/>
    <w:unhideWhenUsed/>
    <w:qFormat/>
    <w:rsid w:val="004C19F9"/>
    <w:pPr>
      <w:keepNext/>
      <w:keepLines/>
      <w:spacing w:before="40" w:after="0" w:line="259" w:lineRule="auto"/>
      <w:outlineLvl w:val="5"/>
    </w:pPr>
    <w:rPr>
      <w:rFonts w:asciiTheme="minorHAnsi" w:eastAsiaTheme="majorEastAsia" w:hAnsiTheme="minorHAnsi" w:cstheme="majorBidi"/>
      <w:i/>
      <w:iCs/>
      <w:color w:val="595959" w:themeColor="text1" w:themeTint="A6"/>
      <w:sz w:val="21"/>
    </w:rPr>
  </w:style>
  <w:style w:type="paragraph" w:styleId="Kop7">
    <w:name w:val="heading 7"/>
    <w:basedOn w:val="Standaard"/>
    <w:next w:val="Standaard"/>
    <w:link w:val="Kop7Char"/>
    <w:uiPriority w:val="9"/>
    <w:semiHidden/>
    <w:unhideWhenUsed/>
    <w:qFormat/>
    <w:rsid w:val="004C19F9"/>
    <w:pPr>
      <w:keepNext/>
      <w:keepLines/>
      <w:spacing w:before="40" w:after="0" w:line="259" w:lineRule="auto"/>
      <w:outlineLvl w:val="6"/>
    </w:pPr>
    <w:rPr>
      <w:rFonts w:asciiTheme="minorHAnsi" w:eastAsiaTheme="majorEastAsia" w:hAnsiTheme="minorHAnsi" w:cstheme="majorBidi"/>
      <w:color w:val="595959" w:themeColor="text1" w:themeTint="A6"/>
      <w:sz w:val="21"/>
    </w:rPr>
  </w:style>
  <w:style w:type="paragraph" w:styleId="Kop8">
    <w:name w:val="heading 8"/>
    <w:basedOn w:val="Standaard"/>
    <w:next w:val="Standaard"/>
    <w:link w:val="Kop8Char"/>
    <w:uiPriority w:val="9"/>
    <w:semiHidden/>
    <w:unhideWhenUsed/>
    <w:qFormat/>
    <w:rsid w:val="004C19F9"/>
    <w:pPr>
      <w:keepNext/>
      <w:keepLines/>
      <w:spacing w:before="0" w:after="0" w:line="259" w:lineRule="auto"/>
      <w:outlineLvl w:val="7"/>
    </w:pPr>
    <w:rPr>
      <w:rFonts w:asciiTheme="minorHAnsi" w:eastAsiaTheme="majorEastAsia" w:hAnsiTheme="minorHAnsi" w:cstheme="majorBidi"/>
      <w:i/>
      <w:iCs/>
      <w:color w:val="272727" w:themeColor="text1" w:themeTint="D8"/>
      <w:sz w:val="21"/>
    </w:rPr>
  </w:style>
  <w:style w:type="paragraph" w:styleId="Kop9">
    <w:name w:val="heading 9"/>
    <w:basedOn w:val="Standaard"/>
    <w:next w:val="Standaard"/>
    <w:link w:val="Kop9Char"/>
    <w:uiPriority w:val="9"/>
    <w:semiHidden/>
    <w:unhideWhenUsed/>
    <w:qFormat/>
    <w:rsid w:val="004C19F9"/>
    <w:pPr>
      <w:keepNext/>
      <w:keepLines/>
      <w:spacing w:before="0" w:after="0" w:line="259" w:lineRule="auto"/>
      <w:outlineLvl w:val="8"/>
    </w:pPr>
    <w:rPr>
      <w:rFonts w:asciiTheme="minorHAnsi" w:eastAsiaTheme="majorEastAsia" w:hAnsiTheme="minorHAnsi" w:cstheme="majorBidi"/>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9F9"/>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4C19F9"/>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4C19F9"/>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4C19F9"/>
    <w:rPr>
      <w:rFonts w:eastAsiaTheme="majorEastAsia" w:cstheme="majorBidi"/>
      <w:i/>
      <w:iCs/>
      <w:color w:val="0F4761" w:themeColor="accent1" w:themeShade="BF"/>
      <w:kern w:val="0"/>
      <w:sz w:val="21"/>
      <w14:ligatures w14:val="none"/>
    </w:rPr>
  </w:style>
  <w:style w:type="character" w:customStyle="1" w:styleId="Kop5Char">
    <w:name w:val="Kop 5 Char"/>
    <w:basedOn w:val="Standaardalinea-lettertype"/>
    <w:link w:val="Kop5"/>
    <w:uiPriority w:val="9"/>
    <w:semiHidden/>
    <w:rsid w:val="004C19F9"/>
    <w:rPr>
      <w:rFonts w:eastAsiaTheme="majorEastAsia" w:cstheme="majorBidi"/>
      <w:color w:val="0F4761" w:themeColor="accent1" w:themeShade="BF"/>
      <w:kern w:val="0"/>
      <w:sz w:val="21"/>
      <w14:ligatures w14:val="none"/>
    </w:rPr>
  </w:style>
  <w:style w:type="character" w:customStyle="1" w:styleId="Kop6Char">
    <w:name w:val="Kop 6 Char"/>
    <w:basedOn w:val="Standaardalinea-lettertype"/>
    <w:link w:val="Kop6"/>
    <w:uiPriority w:val="9"/>
    <w:semiHidden/>
    <w:rsid w:val="004C19F9"/>
    <w:rPr>
      <w:rFonts w:eastAsiaTheme="majorEastAsia" w:cstheme="majorBidi"/>
      <w:i/>
      <w:iCs/>
      <w:color w:val="595959" w:themeColor="text1" w:themeTint="A6"/>
      <w:kern w:val="0"/>
      <w:sz w:val="21"/>
      <w14:ligatures w14:val="none"/>
    </w:rPr>
  </w:style>
  <w:style w:type="character" w:customStyle="1" w:styleId="Kop7Char">
    <w:name w:val="Kop 7 Char"/>
    <w:basedOn w:val="Standaardalinea-lettertype"/>
    <w:link w:val="Kop7"/>
    <w:uiPriority w:val="9"/>
    <w:semiHidden/>
    <w:rsid w:val="004C19F9"/>
    <w:rPr>
      <w:rFonts w:eastAsiaTheme="majorEastAsia" w:cstheme="majorBidi"/>
      <w:color w:val="595959" w:themeColor="text1" w:themeTint="A6"/>
      <w:kern w:val="0"/>
      <w:sz w:val="21"/>
      <w14:ligatures w14:val="none"/>
    </w:rPr>
  </w:style>
  <w:style w:type="character" w:customStyle="1" w:styleId="Kop8Char">
    <w:name w:val="Kop 8 Char"/>
    <w:basedOn w:val="Standaardalinea-lettertype"/>
    <w:link w:val="Kop8"/>
    <w:uiPriority w:val="9"/>
    <w:semiHidden/>
    <w:rsid w:val="004C19F9"/>
    <w:rPr>
      <w:rFonts w:eastAsiaTheme="majorEastAsia" w:cstheme="majorBidi"/>
      <w:i/>
      <w:iCs/>
      <w:color w:val="272727" w:themeColor="text1" w:themeTint="D8"/>
      <w:kern w:val="0"/>
      <w:sz w:val="21"/>
      <w14:ligatures w14:val="none"/>
    </w:rPr>
  </w:style>
  <w:style w:type="character" w:customStyle="1" w:styleId="Kop9Char">
    <w:name w:val="Kop 9 Char"/>
    <w:basedOn w:val="Standaardalinea-lettertype"/>
    <w:link w:val="Kop9"/>
    <w:uiPriority w:val="9"/>
    <w:semiHidden/>
    <w:rsid w:val="004C19F9"/>
    <w:rPr>
      <w:rFonts w:eastAsiaTheme="majorEastAsia" w:cstheme="majorBidi"/>
      <w:color w:val="272727" w:themeColor="text1" w:themeTint="D8"/>
      <w:kern w:val="0"/>
      <w:sz w:val="21"/>
      <w14:ligatures w14:val="none"/>
    </w:rPr>
  </w:style>
  <w:style w:type="paragraph" w:styleId="Titel">
    <w:name w:val="Title"/>
    <w:basedOn w:val="Standaard"/>
    <w:next w:val="Standaard"/>
    <w:link w:val="TitelChar"/>
    <w:uiPriority w:val="10"/>
    <w:qFormat/>
    <w:rsid w:val="004C19F9"/>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4C19F9"/>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4C19F9"/>
    <w:pPr>
      <w:numPr>
        <w:ilvl w:val="1"/>
      </w:numPr>
      <w:spacing w:before="0"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9F9"/>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4C19F9"/>
    <w:pPr>
      <w:spacing w:before="160" w:after="160" w:line="259" w:lineRule="auto"/>
      <w:jc w:val="center"/>
    </w:pPr>
    <w:rPr>
      <w:rFonts w:ascii="Arial" w:hAnsi="Arial"/>
      <w:i/>
      <w:iCs/>
      <w:color w:val="404040" w:themeColor="text1" w:themeTint="BF"/>
      <w:sz w:val="21"/>
    </w:rPr>
  </w:style>
  <w:style w:type="character" w:customStyle="1" w:styleId="CitaatChar">
    <w:name w:val="Citaat Char"/>
    <w:basedOn w:val="Standaardalinea-lettertype"/>
    <w:link w:val="Citaat"/>
    <w:uiPriority w:val="29"/>
    <w:rsid w:val="004C19F9"/>
    <w:rPr>
      <w:rFonts w:ascii="Arial" w:hAnsi="Arial"/>
      <w:i/>
      <w:iCs/>
      <w:color w:val="404040" w:themeColor="text1" w:themeTint="BF"/>
      <w:kern w:val="0"/>
      <w:sz w:val="21"/>
      <w14:ligatures w14:val="none"/>
    </w:rPr>
  </w:style>
  <w:style w:type="paragraph" w:styleId="Lijstalinea">
    <w:name w:val="List Paragraph"/>
    <w:basedOn w:val="Standaard"/>
    <w:uiPriority w:val="34"/>
    <w:qFormat/>
    <w:rsid w:val="004C19F9"/>
    <w:pPr>
      <w:spacing w:before="0" w:after="160" w:line="259" w:lineRule="auto"/>
      <w:ind w:left="720"/>
      <w:contextualSpacing/>
    </w:pPr>
    <w:rPr>
      <w:rFonts w:ascii="Arial" w:hAnsi="Arial"/>
      <w:color w:val="auto"/>
      <w:sz w:val="21"/>
    </w:rPr>
  </w:style>
  <w:style w:type="character" w:styleId="Intensievebenadrukking">
    <w:name w:val="Intense Emphasis"/>
    <w:basedOn w:val="Standaardalinea-lettertype"/>
    <w:uiPriority w:val="21"/>
    <w:qFormat/>
    <w:rsid w:val="004C19F9"/>
    <w:rPr>
      <w:i/>
      <w:iCs/>
      <w:color w:val="0F4761" w:themeColor="accent1" w:themeShade="BF"/>
    </w:rPr>
  </w:style>
  <w:style w:type="paragraph" w:styleId="Duidelijkcitaat">
    <w:name w:val="Intense Quote"/>
    <w:basedOn w:val="Standaard"/>
    <w:next w:val="Standaard"/>
    <w:link w:val="DuidelijkcitaatChar"/>
    <w:uiPriority w:val="30"/>
    <w:qFormat/>
    <w:rsid w:val="004C19F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i/>
      <w:iCs/>
      <w:color w:val="0F4761" w:themeColor="accent1" w:themeShade="BF"/>
      <w:sz w:val="21"/>
    </w:rPr>
  </w:style>
  <w:style w:type="character" w:customStyle="1" w:styleId="DuidelijkcitaatChar">
    <w:name w:val="Duidelijk citaat Char"/>
    <w:basedOn w:val="Standaardalinea-lettertype"/>
    <w:link w:val="Duidelijkcitaat"/>
    <w:uiPriority w:val="30"/>
    <w:rsid w:val="004C19F9"/>
    <w:rPr>
      <w:rFonts w:ascii="Arial" w:hAnsi="Arial"/>
      <w:i/>
      <w:iCs/>
      <w:color w:val="0F4761" w:themeColor="accent1" w:themeShade="BF"/>
      <w:kern w:val="0"/>
      <w:sz w:val="21"/>
      <w14:ligatures w14:val="none"/>
    </w:rPr>
  </w:style>
  <w:style w:type="character" w:styleId="Intensieveverwijzing">
    <w:name w:val="Intense Reference"/>
    <w:basedOn w:val="Standaardalinea-lettertype"/>
    <w:uiPriority w:val="32"/>
    <w:qFormat/>
    <w:rsid w:val="004C19F9"/>
    <w:rPr>
      <w:b/>
      <w:bCs/>
      <w:smallCaps/>
      <w:color w:val="0F4761" w:themeColor="accent1" w:themeShade="BF"/>
      <w:spacing w:val="5"/>
    </w:rPr>
  </w:style>
  <w:style w:type="paragraph" w:styleId="Koptekst">
    <w:name w:val="header"/>
    <w:basedOn w:val="Standaard"/>
    <w:link w:val="KoptekstChar"/>
    <w:uiPriority w:val="99"/>
    <w:unhideWhenUsed/>
    <w:rsid w:val="004C19F9"/>
    <w:pPr>
      <w:tabs>
        <w:tab w:val="center" w:pos="4536"/>
        <w:tab w:val="right" w:pos="9072"/>
      </w:tabs>
      <w:spacing w:before="0" w:after="0" w:line="240" w:lineRule="auto"/>
    </w:pPr>
    <w:rPr>
      <w:rFonts w:ascii="Arial" w:hAnsi="Arial"/>
      <w:color w:val="auto"/>
      <w:sz w:val="21"/>
    </w:rPr>
  </w:style>
  <w:style w:type="character" w:customStyle="1" w:styleId="KoptekstChar">
    <w:name w:val="Koptekst Char"/>
    <w:basedOn w:val="Standaardalinea-lettertype"/>
    <w:link w:val="Koptekst"/>
    <w:uiPriority w:val="99"/>
    <w:rsid w:val="004C19F9"/>
    <w:rPr>
      <w:rFonts w:ascii="Arial" w:hAnsi="Arial"/>
      <w:kern w:val="0"/>
      <w:sz w:val="21"/>
      <w14:ligatures w14:val="none"/>
    </w:rPr>
  </w:style>
  <w:style w:type="paragraph" w:styleId="Voettekst">
    <w:name w:val="footer"/>
    <w:basedOn w:val="Standaard"/>
    <w:link w:val="VoettekstChar"/>
    <w:uiPriority w:val="99"/>
    <w:unhideWhenUsed/>
    <w:rsid w:val="004C19F9"/>
    <w:pPr>
      <w:tabs>
        <w:tab w:val="center" w:pos="4536"/>
        <w:tab w:val="right" w:pos="9072"/>
      </w:tabs>
      <w:spacing w:before="0" w:after="0" w:line="240" w:lineRule="auto"/>
    </w:pPr>
    <w:rPr>
      <w:rFonts w:ascii="Arial" w:hAnsi="Arial"/>
      <w:color w:val="auto"/>
      <w:sz w:val="21"/>
    </w:rPr>
  </w:style>
  <w:style w:type="character" w:customStyle="1" w:styleId="VoettekstChar">
    <w:name w:val="Voettekst Char"/>
    <w:basedOn w:val="Standaardalinea-lettertype"/>
    <w:link w:val="Voettekst"/>
    <w:uiPriority w:val="99"/>
    <w:rsid w:val="004C19F9"/>
    <w:rPr>
      <w:rFonts w:ascii="Arial" w:hAnsi="Arial"/>
      <w:kern w:val="0"/>
      <w:sz w:val="21"/>
      <w14:ligatures w14:val="none"/>
    </w:rPr>
  </w:style>
  <w:style w:type="table" w:styleId="Gemiddeldearcering2-accent1">
    <w:name w:val="Medium Shading 2 Accent 1"/>
    <w:basedOn w:val="Standaardtabel"/>
    <w:uiPriority w:val="64"/>
    <w:rsid w:val="00A20DF9"/>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Geenafstand">
    <w:name w:val="No Spacing"/>
    <w:uiPriority w:val="1"/>
    <w:qFormat/>
    <w:rsid w:val="00900AD4"/>
    <w:pPr>
      <w:spacing w:after="0" w:line="240" w:lineRule="auto"/>
    </w:pPr>
    <w:rPr>
      <w:rFonts w:ascii="Khand" w:hAnsi="Khand"/>
      <w:color w:val="FF8200"/>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c1714e-24a0-465f-b822-82078bd0ce3a" xsi:nil="true"/>
    <lcf76f155ced4ddcb4097134ff3c332f xmlns="85d24bbd-b107-4960-a7b2-524d59faa6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C624887921834CBDB2AA5B6AB3CADE" ma:contentTypeVersion="18" ma:contentTypeDescription="Een nieuw document maken." ma:contentTypeScope="" ma:versionID="8f8728eb8ebb63889ff19021bd740fb7">
  <xsd:schema xmlns:xsd="http://www.w3.org/2001/XMLSchema" xmlns:xs="http://www.w3.org/2001/XMLSchema" xmlns:p="http://schemas.microsoft.com/office/2006/metadata/properties" xmlns:ns2="0ac1714e-24a0-465f-b822-82078bd0ce3a" xmlns:ns3="85d24bbd-b107-4960-a7b2-524d59faa618" targetNamespace="http://schemas.microsoft.com/office/2006/metadata/properties" ma:root="true" ma:fieldsID="78bbf1aa77a58b01133645f634ebcb9a" ns2:_="" ns3:_="">
    <xsd:import namespace="0ac1714e-24a0-465f-b822-82078bd0ce3a"/>
    <xsd:import namespace="85d24bbd-b107-4960-a7b2-524d59faa6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714e-24a0-465f-b822-82078bd0ce3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d2ffe5d-a484-4815-a2d6-9f0b51e0534b}" ma:internalName="TaxCatchAll" ma:showField="CatchAllData" ma:web="0ac1714e-24a0-465f-b822-82078bd0ce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24bbd-b107-4960-a7b2-524d59faa6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d552b1a-d346-44be-8f17-a889abe381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A9A83-C86F-4C18-B3ED-FCCFC07B3DA1}">
  <ds:schemaRefs>
    <ds:schemaRef ds:uri="http://schemas.microsoft.com/sharepoint/v3/contenttype/forms"/>
  </ds:schemaRefs>
</ds:datastoreItem>
</file>

<file path=customXml/itemProps2.xml><?xml version="1.0" encoding="utf-8"?>
<ds:datastoreItem xmlns:ds="http://schemas.openxmlformats.org/officeDocument/2006/customXml" ds:itemID="{12B7E853-0C9B-4339-BA8D-190DF1D98460}">
  <ds:schemaRefs>
    <ds:schemaRef ds:uri="http://schemas.microsoft.com/office/2006/metadata/properties"/>
    <ds:schemaRef ds:uri="http://schemas.microsoft.com/office/infopath/2007/PartnerControls"/>
    <ds:schemaRef ds:uri="0ac1714e-24a0-465f-b822-82078bd0ce3a"/>
    <ds:schemaRef ds:uri="85d24bbd-b107-4960-a7b2-524d59faa618"/>
  </ds:schemaRefs>
</ds:datastoreItem>
</file>

<file path=customXml/itemProps3.xml><?xml version="1.0" encoding="utf-8"?>
<ds:datastoreItem xmlns:ds="http://schemas.openxmlformats.org/officeDocument/2006/customXml" ds:itemID="{D53CA45F-F14B-42CF-AC3A-947DAEC6B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1714e-24a0-465f-b822-82078bd0ce3a"/>
    <ds:schemaRef ds:uri="85d24bbd-b107-4960-a7b2-524d59faa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1641</Words>
  <Characters>9028</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van Pelt</dc:creator>
  <cp:keywords/>
  <dc:description/>
  <cp:lastModifiedBy>Chantal van Pelt</cp:lastModifiedBy>
  <cp:revision>5</cp:revision>
  <cp:lastPrinted>2024-08-19T09:17:00Z</cp:lastPrinted>
  <dcterms:created xsi:type="dcterms:W3CDTF">2024-09-19T06:52:00Z</dcterms:created>
  <dcterms:modified xsi:type="dcterms:W3CDTF">2024-09-19T10:18:00Z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0x0101006AC624887921834CBDB2AA5B6AB3CADE</vt:lpwstr>
  </property>
  <property fmtid="{D5CDD505-2E9C-101B-9397-08002B2CF9AE}" pid="3" name="MediaServiceImageTags">
    <vt:lpwstr/>
  </property>
</Properties>
</file>